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after="0" w:line="560" w:lineRule="exact"/>
        <w:ind w:firstLine="4760" w:firstLineChars="1700"/>
        <w:rPr>
          <w:rFonts w:ascii="Times New Roman" w:hAnsi="Times New Roman" w:eastAsia="宋体"/>
          <w:bCs/>
          <w:color w:val="000000" w:themeColor="text1"/>
          <w:sz w:val="28"/>
          <w:szCs w:val="28"/>
        </w:rPr>
      </w:pPr>
      <w:bookmarkStart w:id="0" w:name="_GoBack"/>
      <w:bookmarkEnd w:id="0"/>
    </w:p>
    <w:p>
      <w:pPr>
        <w:pStyle w:val="2"/>
      </w:pPr>
    </w:p>
    <w:p>
      <w:pPr>
        <w:pStyle w:val="2"/>
        <w:spacing w:after="0" w:line="560" w:lineRule="exact"/>
        <w:jc w:val="right"/>
        <w:rPr>
          <w:color w:val="000000" w:themeColor="text1"/>
        </w:rPr>
      </w:pPr>
      <w:r>
        <w:rPr>
          <w:rFonts w:hint="eastAsia" w:ascii="仿宋" w:hAnsi="仿宋" w:eastAsia="仿宋"/>
          <w:color w:val="000000" w:themeColor="text1"/>
          <w:sz w:val="32"/>
          <w:szCs w:val="32"/>
        </w:rPr>
        <w:t>常环建（</w:t>
      </w:r>
      <w:r>
        <w:rPr>
          <w:rFonts w:hint="eastAsia" w:ascii="仿宋" w:hAnsi="仿宋" w:eastAsia="仿宋"/>
          <w:color w:val="000000" w:themeColor="text1"/>
          <w:sz w:val="32"/>
          <w:szCs w:val="32"/>
          <w:lang w:val="en-US" w:eastAsia="zh-CN"/>
        </w:rPr>
        <w:t>15</w:t>
      </w:r>
      <w:r>
        <w:rPr>
          <w:rFonts w:hint="eastAsia" w:ascii="仿宋" w:hAnsi="仿宋" w:eastAsia="仿宋"/>
          <w:color w:val="000000" w:themeColor="text1"/>
          <w:sz w:val="32"/>
          <w:szCs w:val="32"/>
        </w:rPr>
        <w:t>）〔2024〕</w:t>
      </w:r>
      <w:r>
        <w:rPr>
          <w:rFonts w:hint="eastAsia" w:ascii="仿宋" w:hAnsi="仿宋" w:eastAsia="仿宋"/>
          <w:color w:val="000000" w:themeColor="text1"/>
          <w:sz w:val="32"/>
          <w:szCs w:val="32"/>
          <w:lang w:val="en-US" w:eastAsia="zh-CN"/>
        </w:rPr>
        <w:t>1</w:t>
      </w:r>
      <w:r>
        <w:rPr>
          <w:rFonts w:hint="eastAsia" w:ascii="仿宋" w:hAnsi="仿宋" w:eastAsia="仿宋"/>
          <w:color w:val="000000" w:themeColor="text1"/>
          <w:sz w:val="32"/>
          <w:szCs w:val="32"/>
        </w:rPr>
        <w:t>号</w:t>
      </w:r>
    </w:p>
    <w:p>
      <w:pPr>
        <w:tabs>
          <w:tab w:val="left" w:pos="1021"/>
        </w:tabs>
        <w:spacing w:after="0" w:line="560" w:lineRule="exact"/>
        <w:jc w:val="center"/>
        <w:rPr>
          <w:rFonts w:ascii="方正小标宋简体" w:eastAsia="方正小标宋简体" w:hAnsiTheme="majorEastAsia"/>
          <w:color w:val="000000" w:themeColor="text1"/>
          <w:sz w:val="44"/>
          <w:szCs w:val="44"/>
        </w:rPr>
      </w:pPr>
    </w:p>
    <w:p>
      <w:pPr>
        <w:tabs>
          <w:tab w:val="left" w:pos="1021"/>
        </w:tabs>
        <w:spacing w:after="0" w:line="560" w:lineRule="exact"/>
        <w:jc w:val="center"/>
        <w:rPr>
          <w:rFonts w:ascii="方正小标宋简体" w:eastAsia="方正小标宋简体" w:hAnsiTheme="majorEastAsia"/>
          <w:color w:val="000000" w:themeColor="text1"/>
          <w:sz w:val="44"/>
          <w:szCs w:val="44"/>
        </w:rPr>
      </w:pPr>
      <w:r>
        <w:rPr>
          <w:rFonts w:hint="eastAsia" w:ascii="方正小标宋简体" w:eastAsia="方正小标宋简体" w:hAnsiTheme="majorEastAsia"/>
          <w:color w:val="000000" w:themeColor="text1"/>
          <w:sz w:val="44"/>
          <w:szCs w:val="44"/>
        </w:rPr>
        <w:t>常德市生态环境局</w:t>
      </w:r>
    </w:p>
    <w:p>
      <w:pPr>
        <w:tabs>
          <w:tab w:val="left" w:pos="1021"/>
        </w:tabs>
        <w:spacing w:after="0" w:line="560" w:lineRule="exact"/>
        <w:jc w:val="center"/>
        <w:rPr>
          <w:rFonts w:ascii="方正小标宋简体" w:eastAsia="方正小标宋简体" w:hAnsiTheme="majorEastAsia"/>
          <w:color w:val="000000" w:themeColor="text1"/>
          <w:kern w:val="2"/>
          <w:sz w:val="44"/>
          <w:szCs w:val="44"/>
        </w:rPr>
      </w:pPr>
      <w:r>
        <w:rPr>
          <w:rFonts w:hint="eastAsia" w:ascii="方正小标宋简体" w:eastAsia="方正小标宋简体" w:hAnsiTheme="majorEastAsia"/>
          <w:color w:val="000000" w:themeColor="text1"/>
          <w:sz w:val="44"/>
          <w:szCs w:val="44"/>
        </w:rPr>
        <w:t>关于常德市桃花源风景名胜区管理局楠竹水闸除险加固工程环境影响报告表的批复</w:t>
      </w:r>
    </w:p>
    <w:p>
      <w:pPr>
        <w:spacing w:after="0" w:line="560" w:lineRule="exact"/>
        <w:jc w:val="both"/>
        <w:rPr>
          <w:rFonts w:ascii="仿宋" w:hAnsi="仿宋" w:eastAsia="仿宋"/>
          <w:color w:val="000000" w:themeColor="text1"/>
          <w:kern w:val="2"/>
          <w:sz w:val="32"/>
          <w:szCs w:val="32"/>
        </w:rPr>
      </w:pPr>
    </w:p>
    <w:p>
      <w:pPr>
        <w:widowControl w:val="0"/>
        <w:spacing w:after="0" w:line="560" w:lineRule="exact"/>
        <w:jc w:val="both"/>
        <w:rPr>
          <w:rFonts w:ascii="仿宋" w:hAnsi="仿宋" w:eastAsia="仿宋"/>
          <w:color w:val="000000" w:themeColor="text1"/>
          <w:sz w:val="32"/>
          <w:szCs w:val="32"/>
        </w:rPr>
      </w:pPr>
      <w:r>
        <w:rPr>
          <w:rFonts w:hint="eastAsia" w:ascii="仿宋" w:hAnsi="仿宋" w:eastAsia="仿宋"/>
          <w:color w:val="000000" w:themeColor="text1"/>
          <w:sz w:val="32"/>
          <w:szCs w:val="32"/>
        </w:rPr>
        <w:t>常德市桃花源风景名胜区管理局：</w:t>
      </w:r>
    </w:p>
    <w:p>
      <w:pPr>
        <w:widowControl w:val="0"/>
        <w:spacing w:after="0" w:line="560" w:lineRule="exact"/>
        <w:ind w:firstLine="640" w:firstLineChars="200"/>
        <w:jc w:val="both"/>
        <w:rPr>
          <w:rFonts w:ascii="仿宋" w:hAnsi="仿宋" w:eastAsia="仿宋"/>
          <w:color w:val="000000" w:themeColor="text1"/>
          <w:kern w:val="2"/>
          <w:sz w:val="32"/>
          <w:szCs w:val="32"/>
        </w:rPr>
      </w:pPr>
      <w:r>
        <w:rPr>
          <w:rFonts w:hint="eastAsia" w:ascii="仿宋" w:hAnsi="仿宋" w:eastAsia="仿宋"/>
          <w:color w:val="000000" w:themeColor="text1"/>
          <w:kern w:val="2"/>
          <w:sz w:val="32"/>
          <w:szCs w:val="32"/>
        </w:rPr>
        <w:t>你单位《关于申请对&lt;楠竹水闸除险加固工程环境影响报告表&gt;进行审批的请示》以及附送的《常德市桃花源风景名胜区管理局楠竹水闸除险加固工程环境影响报告表》（以下简称《报告表》）收悉。结合专家评估意见和《报告表》在网上公示期间未收到反馈意见的情况。经研究，现批复如下：</w:t>
      </w:r>
    </w:p>
    <w:p>
      <w:pPr>
        <w:widowControl w:val="0"/>
        <w:spacing w:after="0" w:line="560" w:lineRule="exact"/>
        <w:ind w:firstLine="640" w:firstLineChars="200"/>
        <w:jc w:val="both"/>
        <w:rPr>
          <w:rFonts w:hint="eastAsia" w:ascii="仿宋" w:hAnsi="仿宋" w:eastAsia="仿宋"/>
          <w:color w:val="000000" w:themeColor="text1"/>
          <w:kern w:val="2"/>
          <w:sz w:val="32"/>
          <w:szCs w:val="32"/>
        </w:rPr>
      </w:pPr>
      <w:r>
        <w:rPr>
          <w:rFonts w:hint="eastAsia" w:ascii="仿宋" w:hAnsi="仿宋" w:eastAsia="仿宋"/>
          <w:color w:val="000000" w:themeColor="text1"/>
          <w:kern w:val="2"/>
          <w:sz w:val="32"/>
          <w:szCs w:val="32"/>
        </w:rPr>
        <w:t>一、楠竹水闸位于桃花源旅游管理区桃花源镇，是一座以灌溉为主兼顾发电有综合效益的中型水利工程。本次除险加固的主要内容为：1）闸坝拆除重建；2）启闭机排架及工作桥新建；3）交通桥重建；4）消力池新建；5）连接挡土墙新建；6）上游河道清淤及生态护岸；7）灌溉闸改造；8）管理房新建。项目总投资</w:t>
      </w:r>
      <w:r>
        <w:rPr>
          <w:rFonts w:ascii="仿宋" w:hAnsi="仿宋" w:eastAsia="仿宋"/>
          <w:color w:val="000000" w:themeColor="text1"/>
          <w:kern w:val="2"/>
          <w:sz w:val="32"/>
          <w:szCs w:val="32"/>
        </w:rPr>
        <w:t>2079.82</w:t>
      </w:r>
      <w:r>
        <w:rPr>
          <w:rFonts w:hint="eastAsia" w:ascii="仿宋" w:hAnsi="仿宋" w:eastAsia="仿宋"/>
          <w:color w:val="000000" w:themeColor="text1"/>
          <w:kern w:val="2"/>
          <w:sz w:val="32"/>
          <w:szCs w:val="32"/>
        </w:rPr>
        <w:t>万元。</w:t>
      </w:r>
    </w:p>
    <w:p>
      <w:pPr>
        <w:widowControl w:val="0"/>
        <w:spacing w:after="0" w:line="560" w:lineRule="exact"/>
        <w:ind w:firstLine="640" w:firstLineChars="200"/>
        <w:jc w:val="both"/>
        <w:rPr>
          <w:rFonts w:ascii="仿宋" w:hAnsi="仿宋" w:eastAsia="仿宋"/>
          <w:color w:val="000000" w:themeColor="text1"/>
          <w:kern w:val="2"/>
          <w:sz w:val="32"/>
          <w:szCs w:val="32"/>
        </w:rPr>
      </w:pPr>
      <w:r>
        <w:rPr>
          <w:rFonts w:hint="eastAsia" w:ascii="仿宋" w:hAnsi="仿宋" w:eastAsia="仿宋"/>
          <w:color w:val="000000" w:themeColor="text1"/>
          <w:kern w:val="2"/>
          <w:sz w:val="32"/>
          <w:szCs w:val="32"/>
        </w:rPr>
        <w:t>二、根据《报告表》，该项目已取得《常德市水利局关于楠竹水闸除险加固工程初步设计的批复》，项目符合国家产业政策。你单位在严格落实《报告表》提出的建设及营运期各项生态环境保护和污染防治措施的前提下，我局原则同意你单位按照《报告表》所列建设内容建设该项目。</w:t>
      </w:r>
    </w:p>
    <w:p>
      <w:pPr>
        <w:widowControl w:val="0"/>
        <w:spacing w:after="0" w:line="560" w:lineRule="exact"/>
        <w:ind w:firstLine="640" w:firstLineChars="200"/>
        <w:jc w:val="both"/>
        <w:rPr>
          <w:rFonts w:ascii="仿宋" w:hAnsi="仿宋" w:eastAsia="仿宋"/>
          <w:color w:val="000000" w:themeColor="text1"/>
          <w:kern w:val="2"/>
          <w:sz w:val="32"/>
          <w:szCs w:val="32"/>
        </w:rPr>
      </w:pPr>
      <w:r>
        <w:rPr>
          <w:rFonts w:hint="eastAsia" w:ascii="仿宋" w:hAnsi="仿宋" w:eastAsia="仿宋"/>
          <w:color w:val="000000" w:themeColor="text1"/>
          <w:kern w:val="2"/>
          <w:sz w:val="32"/>
          <w:szCs w:val="32"/>
        </w:rPr>
        <w:t xml:space="preserve">三、该项目在设计、建设和营运过程中必须严格执行“三同时”制度，重点做好以下环保工作： </w:t>
      </w:r>
    </w:p>
    <w:p>
      <w:pPr>
        <w:spacing w:after="0" w:line="560" w:lineRule="exact"/>
        <w:ind w:firstLine="640" w:firstLineChars="200"/>
        <w:rPr>
          <w:rFonts w:hint="eastAsia" w:ascii="仿宋" w:hAnsi="仿宋" w:eastAsia="仿宋"/>
          <w:color w:val="000000" w:themeColor="text1"/>
          <w:kern w:val="2"/>
          <w:sz w:val="32"/>
          <w:szCs w:val="32"/>
        </w:rPr>
      </w:pPr>
      <w:r>
        <w:rPr>
          <w:rFonts w:hint="eastAsia" w:ascii="仿宋" w:hAnsi="仿宋" w:eastAsia="仿宋"/>
          <w:color w:val="000000" w:themeColor="text1"/>
          <w:kern w:val="2"/>
          <w:sz w:val="32"/>
          <w:szCs w:val="32"/>
        </w:rPr>
        <w:t>（一）落实大气污染防治措施。选用符合标准的施工机械和运输车辆，合理设置淤泥堆放等施工场地，采取密闭车辆运输、控制运输车速、优化运输路线、设置工程围挡及场地及时洒水等抑尘措施，喷洒恶臭消除剂等除臭措施，控制大气环境影响。</w:t>
      </w:r>
    </w:p>
    <w:p>
      <w:pPr>
        <w:spacing w:after="0" w:line="560" w:lineRule="exact"/>
        <w:ind w:firstLine="640" w:firstLineChars="200"/>
        <w:rPr>
          <w:rFonts w:ascii="仿宋" w:hAnsi="仿宋" w:eastAsia="仿宋"/>
          <w:color w:val="000000" w:themeColor="text1"/>
          <w:kern w:val="2"/>
          <w:sz w:val="32"/>
          <w:szCs w:val="32"/>
        </w:rPr>
      </w:pPr>
      <w:r>
        <w:rPr>
          <w:rFonts w:hint="eastAsia" w:ascii="仿宋" w:hAnsi="仿宋" w:eastAsia="仿宋"/>
          <w:color w:val="000000" w:themeColor="text1"/>
          <w:kern w:val="2"/>
          <w:sz w:val="32"/>
          <w:szCs w:val="32"/>
        </w:rPr>
        <w:t>（二）落实水污染防治措施。设置隔油池、沉淀池等设施，施工废水和施工机械冲洗废水经隔油沉淀处理后回用，施工围堰基坑水经沉淀措施处理后达标排放。生活污水经化粪池处理后回用于周边灌溉。</w:t>
      </w:r>
    </w:p>
    <w:p>
      <w:pPr>
        <w:spacing w:after="0" w:line="560" w:lineRule="exact"/>
        <w:ind w:firstLine="640" w:firstLineChars="200"/>
        <w:rPr>
          <w:rFonts w:ascii="仿宋" w:hAnsi="仿宋" w:eastAsia="仿宋"/>
          <w:color w:val="000000" w:themeColor="text1"/>
          <w:kern w:val="2"/>
          <w:sz w:val="32"/>
          <w:szCs w:val="32"/>
        </w:rPr>
      </w:pPr>
      <w:r>
        <w:rPr>
          <w:rFonts w:hint="eastAsia" w:ascii="仿宋" w:hAnsi="仿宋" w:eastAsia="仿宋"/>
          <w:color w:val="000000" w:themeColor="text1"/>
          <w:kern w:val="2"/>
          <w:sz w:val="32"/>
          <w:szCs w:val="32"/>
        </w:rPr>
        <w:t>（三）落实噪声污染防治措施。合理安排施工时段，禁止夜间（22:00～6:00）从事高噪声施工作业。选用先进、低噪声施工机械和工艺，采用临时隔声防护等措施，降低施工期对周边环境敏感点的噪声影响。</w:t>
      </w:r>
    </w:p>
    <w:p>
      <w:pPr>
        <w:widowControl w:val="0"/>
        <w:spacing w:after="0" w:line="560" w:lineRule="exact"/>
        <w:ind w:firstLine="640" w:firstLineChars="200"/>
        <w:rPr>
          <w:rFonts w:ascii="仿宋" w:hAnsi="仿宋" w:eastAsia="仿宋"/>
          <w:kern w:val="2"/>
          <w:sz w:val="32"/>
          <w:szCs w:val="32"/>
        </w:rPr>
      </w:pPr>
      <w:r>
        <w:rPr>
          <w:rFonts w:hint="eastAsia" w:ascii="仿宋" w:hAnsi="仿宋" w:eastAsia="仿宋"/>
          <w:color w:val="000000" w:themeColor="text1"/>
          <w:kern w:val="2"/>
          <w:sz w:val="32"/>
          <w:szCs w:val="32"/>
        </w:rPr>
        <w:t>（四）落实固</w:t>
      </w:r>
      <w:r>
        <w:rPr>
          <w:rFonts w:hint="eastAsia" w:ascii="仿宋" w:hAnsi="仿宋" w:eastAsia="仿宋"/>
          <w:kern w:val="2"/>
          <w:sz w:val="32"/>
          <w:szCs w:val="32"/>
        </w:rPr>
        <w:t>体废物处置措施。设置规范的危废暂存间，其建设、运行和管理应满足《危险废物贮存污染控制标准》（GB18597-2023）要求，</w:t>
      </w:r>
      <w:r>
        <w:rPr>
          <w:rFonts w:hint="eastAsia" w:ascii="仿宋" w:hAnsi="仿宋" w:eastAsia="仿宋"/>
          <w:color w:val="000000" w:themeColor="text1"/>
          <w:kern w:val="2"/>
          <w:sz w:val="32"/>
          <w:szCs w:val="32"/>
        </w:rPr>
        <w:t>危险废物交有资质的单位处置。</w:t>
      </w:r>
      <w:r>
        <w:rPr>
          <w:rFonts w:hint="eastAsia" w:ascii="仿宋" w:hAnsi="仿宋" w:eastAsia="仿宋"/>
          <w:kern w:val="2"/>
          <w:sz w:val="32"/>
          <w:szCs w:val="32"/>
        </w:rPr>
        <w:t>建筑垃圾优先资源化利用，暂不能利用的及时清运至指定的建筑垃圾处理场，弃方、淤泥及沉淀池污泥运往弃渣场。生活垃圾及时交由当地环卫部门统一集中处理。</w:t>
      </w:r>
    </w:p>
    <w:p>
      <w:pPr>
        <w:widowControl w:val="0"/>
        <w:spacing w:after="0" w:line="560" w:lineRule="exact"/>
        <w:ind w:firstLine="640" w:firstLineChars="200"/>
        <w:rPr>
          <w:rFonts w:ascii="仿宋" w:hAnsi="仿宋" w:eastAsia="仿宋"/>
          <w:color w:val="000000" w:themeColor="text1"/>
          <w:kern w:val="2"/>
          <w:sz w:val="32"/>
          <w:szCs w:val="32"/>
        </w:rPr>
      </w:pPr>
      <w:r>
        <w:rPr>
          <w:rFonts w:hint="eastAsia" w:ascii="仿宋" w:hAnsi="仿宋" w:eastAsia="仿宋"/>
          <w:color w:val="000000" w:themeColor="text1"/>
          <w:kern w:val="2"/>
          <w:sz w:val="32"/>
          <w:szCs w:val="32"/>
        </w:rPr>
        <w:t>（五）落实生态环境保护措施。科学开展施工作业，严格控制施工作业范围，严禁越界施工，减少施工开挖面积和临时占地面积，减少植被破坏，规范工程挖掘、河道清淤、临时占地生态恢复等工作。切实做好营运期生态环境保护工作，落实水闸营运期间各项污染防治措施，减少噪声及固体废物等对周边环境产生的不利影响。</w:t>
      </w:r>
    </w:p>
    <w:p>
      <w:pPr>
        <w:widowControl w:val="0"/>
        <w:spacing w:after="0" w:line="560" w:lineRule="exact"/>
        <w:ind w:firstLine="672" w:firstLineChars="200"/>
        <w:jc w:val="both"/>
        <w:rPr>
          <w:rFonts w:ascii="仿宋" w:hAnsi="仿宋" w:eastAsia="仿宋"/>
          <w:color w:val="000000" w:themeColor="text1"/>
          <w:spacing w:val="8"/>
          <w:sz w:val="32"/>
          <w:szCs w:val="32"/>
          <w:lang w:val="en-GB"/>
        </w:rPr>
      </w:pPr>
      <w:r>
        <w:rPr>
          <w:rFonts w:hint="eastAsia" w:ascii="仿宋" w:hAnsi="仿宋" w:eastAsia="仿宋"/>
          <w:color w:val="000000" w:themeColor="text1"/>
          <w:spacing w:val="8"/>
          <w:sz w:val="32"/>
          <w:szCs w:val="32"/>
          <w:lang w:val="en-GB"/>
        </w:rPr>
        <w:t>四、《报告表》经批准后，建设项目发生重大变动的，应重新向我局报批环境影响评价文件；或自批准之日起超过五年，方决定建设项目开工建设的，其《报告表》应报我局重新审核。</w:t>
      </w:r>
    </w:p>
    <w:p>
      <w:pPr>
        <w:widowControl w:val="0"/>
        <w:spacing w:after="0" w:line="560" w:lineRule="exact"/>
        <w:ind w:firstLine="672" w:firstLineChars="200"/>
        <w:jc w:val="both"/>
        <w:rPr>
          <w:rFonts w:ascii="仿宋" w:hAnsi="仿宋" w:eastAsia="仿宋"/>
          <w:color w:val="000000" w:themeColor="text1"/>
          <w:sz w:val="32"/>
          <w:szCs w:val="32"/>
          <w:lang w:val="en-GB"/>
        </w:rPr>
      </w:pPr>
      <w:r>
        <w:rPr>
          <w:rFonts w:hint="eastAsia" w:ascii="仿宋" w:hAnsi="仿宋" w:eastAsia="仿宋"/>
          <w:color w:val="000000" w:themeColor="text1"/>
          <w:spacing w:val="8"/>
          <w:sz w:val="32"/>
          <w:szCs w:val="32"/>
          <w:lang w:val="en-GB"/>
        </w:rPr>
        <w:t>五、</w:t>
      </w:r>
      <w:r>
        <w:rPr>
          <w:rFonts w:hint="eastAsia" w:ascii="仿宋" w:hAnsi="仿宋" w:eastAsia="仿宋"/>
          <w:color w:val="000000" w:themeColor="text1"/>
          <w:sz w:val="32"/>
          <w:szCs w:val="32"/>
        </w:rPr>
        <w:t>该项目的“三同时”监督检查及日常环境管理工作由常德市生态环境局桃花源分局具体负责。</w:t>
      </w:r>
    </w:p>
    <w:p>
      <w:pPr>
        <w:widowControl w:val="0"/>
        <w:spacing w:after="0" w:line="560" w:lineRule="exact"/>
        <w:ind w:firstLine="5440" w:firstLineChars="1700"/>
        <w:jc w:val="both"/>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p>
    <w:p>
      <w:pPr>
        <w:pStyle w:val="2"/>
      </w:pPr>
    </w:p>
    <w:p>
      <w:pPr>
        <w:widowControl w:val="0"/>
        <w:spacing w:after="0" w:line="560" w:lineRule="exact"/>
        <w:ind w:firstLine="5440" w:firstLineChars="1700"/>
        <w:jc w:val="both"/>
        <w:rPr>
          <w:rFonts w:ascii="仿宋" w:hAnsi="仿宋" w:eastAsia="仿宋"/>
          <w:color w:val="000000" w:themeColor="text1"/>
          <w:sz w:val="32"/>
          <w:szCs w:val="32"/>
        </w:rPr>
      </w:pPr>
      <w:r>
        <w:rPr>
          <w:rFonts w:hint="eastAsia" w:ascii="仿宋" w:hAnsi="仿宋" w:eastAsia="仿宋"/>
          <w:color w:val="000000" w:themeColor="text1"/>
          <w:sz w:val="32"/>
          <w:szCs w:val="32"/>
        </w:rPr>
        <w:t>常德市生态环境局</w:t>
      </w:r>
    </w:p>
    <w:p>
      <w:pPr>
        <w:widowControl w:val="0"/>
        <w:spacing w:after="0" w:line="560" w:lineRule="exact"/>
        <w:ind w:firstLine="5440" w:firstLineChars="1700"/>
        <w:jc w:val="both"/>
        <w:rPr>
          <w:color w:val="000000" w:themeColor="text1"/>
        </w:rPr>
      </w:pPr>
      <w:r>
        <w:rPr>
          <w:rFonts w:hint="eastAsia" w:ascii="仿宋" w:hAnsi="仿宋" w:eastAsia="仿宋"/>
          <w:color w:val="000000" w:themeColor="text1"/>
          <w:sz w:val="32"/>
          <w:szCs w:val="32"/>
        </w:rPr>
        <w:t>2024年</w:t>
      </w:r>
      <w:r>
        <w:rPr>
          <w:rFonts w:hint="eastAsia" w:ascii="仿宋" w:hAnsi="仿宋" w:eastAsia="仿宋"/>
          <w:color w:val="000000" w:themeColor="text1"/>
          <w:sz w:val="32"/>
          <w:szCs w:val="32"/>
          <w:lang w:val="en-US" w:eastAsia="zh-CN"/>
        </w:rPr>
        <w:t>4</w:t>
      </w:r>
      <w:r>
        <w:rPr>
          <w:rFonts w:hint="eastAsia" w:ascii="仿宋" w:hAnsi="仿宋" w:eastAsia="仿宋"/>
          <w:color w:val="000000" w:themeColor="text1"/>
          <w:sz w:val="32"/>
          <w:szCs w:val="32"/>
        </w:rPr>
        <w:t>月</w:t>
      </w:r>
      <w:r>
        <w:rPr>
          <w:rFonts w:hint="eastAsia" w:ascii="仿宋" w:hAnsi="仿宋" w:eastAsia="仿宋"/>
          <w:color w:val="000000" w:themeColor="text1"/>
          <w:sz w:val="32"/>
          <w:szCs w:val="32"/>
          <w:lang w:val="en-US" w:eastAsia="zh-CN"/>
        </w:rPr>
        <w:t>7</w:t>
      </w:r>
      <w:r>
        <w:rPr>
          <w:rFonts w:hint="eastAsia" w:ascii="仿宋" w:hAnsi="仿宋" w:eastAsia="仿宋"/>
          <w:color w:val="000000" w:themeColor="text1"/>
          <w:sz w:val="32"/>
          <w:szCs w:val="32"/>
        </w:rPr>
        <w:t>日</w:t>
      </w:r>
    </w:p>
    <w:sectPr>
      <w:headerReference r:id="rId4" w:type="default"/>
      <w:footerReference r:id="rId5" w:type="default"/>
      <w:footerReference r:id="rId6" w:type="even"/>
      <w:pgSz w:w="11906" w:h="16838"/>
      <w:pgMar w:top="2098" w:right="1474" w:bottom="1701" w:left="1588" w:header="709" w:footer="709"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8658435"/>
    </w:sdtPr>
    <w:sdtContent>
      <w:p>
        <w:pPr>
          <w:pStyle w:val="10"/>
          <w:jc w:val="right"/>
        </w:pPr>
        <w:r>
          <w:fldChar w:fldCharType="begin"/>
        </w:r>
        <w:r>
          <w:instrText xml:space="preserve"> PAGE   \* MERGEFORMAT </w:instrText>
        </w:r>
        <w:r>
          <w:fldChar w:fldCharType="separate"/>
        </w:r>
        <w:r>
          <w:rPr>
            <w:lang w:val="zh-CN"/>
          </w:rPr>
          <w:t>-</w:t>
        </w:r>
        <w:r>
          <w:t xml:space="preserve"> 1 -</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0236367"/>
    </w:sdtPr>
    <w:sdtContent>
      <w:p>
        <w:pPr>
          <w:pStyle w:val="10"/>
        </w:pPr>
        <w:r>
          <w:fldChar w:fldCharType="begin"/>
        </w:r>
        <w:r>
          <w:instrText xml:space="preserve">PAGE   \* MERGEFORMAT</w:instrText>
        </w:r>
        <w:r>
          <w:fldChar w:fldCharType="separate"/>
        </w:r>
        <w:r>
          <w:rPr>
            <w:lang w:val="zh-CN"/>
          </w:rPr>
          <w:t>-</w:t>
        </w:r>
        <w:r>
          <w:t xml:space="preserve"> 2 -</w:t>
        </w:r>
        <w:r>
          <w:fldChar w:fldCharType="end"/>
        </w:r>
      </w:p>
    </w:sdtContent>
  </w:sdt>
  <w:p>
    <w:pPr>
      <w:pStyle w:val="10"/>
      <w:tabs>
        <w:tab w:val="left" w:pos="3583"/>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drawingGridHorizontalSpacing w:val="110"/>
  <w:noPunctuationKerning w:val="1"/>
  <w:characterSpacingControl w:val="doNotCompress"/>
  <w:noLineBreaksAfter w:lang="zh-CN" w:val="$([{£¥·‘“〈《「『【〔〖〝﹙﹛﹝＄（．［｛￡￥"/>
  <w:noLineBreaksBefore w:lang="zh-CN" w:val="!%),.:;&gt;?]}¢¨°·ˇˉ―‖’”…‰′″›℃∶、。〃〉》」』】〕〗〞︶︺︾﹀﹄﹚﹜﹞！＂％＇），．：；？］｀｜｝～￠"/>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OTBjNTE3MGMyYzA5MmVlODg0YThmYWY0ZWM3ZGYifQ=="/>
  </w:docVars>
  <w:rsids>
    <w:rsidRoot w:val="00D31D50"/>
    <w:rsid w:val="0000280A"/>
    <w:rsid w:val="00005413"/>
    <w:rsid w:val="00012362"/>
    <w:rsid w:val="0001427E"/>
    <w:rsid w:val="00022A11"/>
    <w:rsid w:val="000249F7"/>
    <w:rsid w:val="00024D52"/>
    <w:rsid w:val="000254A9"/>
    <w:rsid w:val="00027523"/>
    <w:rsid w:val="00027E6E"/>
    <w:rsid w:val="00031547"/>
    <w:rsid w:val="000324D7"/>
    <w:rsid w:val="00052BFB"/>
    <w:rsid w:val="0005327B"/>
    <w:rsid w:val="00055C50"/>
    <w:rsid w:val="000571D9"/>
    <w:rsid w:val="00073B94"/>
    <w:rsid w:val="00077F5A"/>
    <w:rsid w:val="0008272A"/>
    <w:rsid w:val="0008275C"/>
    <w:rsid w:val="000A0196"/>
    <w:rsid w:val="000A2978"/>
    <w:rsid w:val="000B2325"/>
    <w:rsid w:val="000B2A56"/>
    <w:rsid w:val="000B394E"/>
    <w:rsid w:val="000B3983"/>
    <w:rsid w:val="000B7D30"/>
    <w:rsid w:val="000C336A"/>
    <w:rsid w:val="000C430B"/>
    <w:rsid w:val="000C6DD6"/>
    <w:rsid w:val="000D48FD"/>
    <w:rsid w:val="000D75DF"/>
    <w:rsid w:val="000E215B"/>
    <w:rsid w:val="000E58D6"/>
    <w:rsid w:val="000F33D8"/>
    <w:rsid w:val="000F4213"/>
    <w:rsid w:val="000F685C"/>
    <w:rsid w:val="000F718A"/>
    <w:rsid w:val="00100635"/>
    <w:rsid w:val="00100762"/>
    <w:rsid w:val="00101501"/>
    <w:rsid w:val="00104A5A"/>
    <w:rsid w:val="00105AB6"/>
    <w:rsid w:val="00110277"/>
    <w:rsid w:val="001140FB"/>
    <w:rsid w:val="0011707B"/>
    <w:rsid w:val="00122553"/>
    <w:rsid w:val="001304F9"/>
    <w:rsid w:val="00130E63"/>
    <w:rsid w:val="00133AC9"/>
    <w:rsid w:val="00142E89"/>
    <w:rsid w:val="001439ED"/>
    <w:rsid w:val="00151D7D"/>
    <w:rsid w:val="001525EC"/>
    <w:rsid w:val="00153701"/>
    <w:rsid w:val="0015379D"/>
    <w:rsid w:val="00155CC8"/>
    <w:rsid w:val="001610A4"/>
    <w:rsid w:val="00162636"/>
    <w:rsid w:val="00162E95"/>
    <w:rsid w:val="00163C3A"/>
    <w:rsid w:val="001726CC"/>
    <w:rsid w:val="00173216"/>
    <w:rsid w:val="001737F0"/>
    <w:rsid w:val="001751C4"/>
    <w:rsid w:val="00177C02"/>
    <w:rsid w:val="00180543"/>
    <w:rsid w:val="00182E47"/>
    <w:rsid w:val="00182F81"/>
    <w:rsid w:val="00186BC9"/>
    <w:rsid w:val="00190C48"/>
    <w:rsid w:val="001944D4"/>
    <w:rsid w:val="001A24D2"/>
    <w:rsid w:val="001A2683"/>
    <w:rsid w:val="001A56EB"/>
    <w:rsid w:val="001A58B1"/>
    <w:rsid w:val="001A6E2B"/>
    <w:rsid w:val="001B2565"/>
    <w:rsid w:val="001B5220"/>
    <w:rsid w:val="001C19D7"/>
    <w:rsid w:val="001C3A2E"/>
    <w:rsid w:val="001C4911"/>
    <w:rsid w:val="001D1A0D"/>
    <w:rsid w:val="001D1FA4"/>
    <w:rsid w:val="001D410B"/>
    <w:rsid w:val="001D52B6"/>
    <w:rsid w:val="001F0BC1"/>
    <w:rsid w:val="001F1C9F"/>
    <w:rsid w:val="001F4042"/>
    <w:rsid w:val="001F5E9A"/>
    <w:rsid w:val="001F7044"/>
    <w:rsid w:val="00200BA1"/>
    <w:rsid w:val="0020529E"/>
    <w:rsid w:val="00205AF0"/>
    <w:rsid w:val="00205C21"/>
    <w:rsid w:val="00206E20"/>
    <w:rsid w:val="0020749E"/>
    <w:rsid w:val="00210090"/>
    <w:rsid w:val="002117F5"/>
    <w:rsid w:val="00212028"/>
    <w:rsid w:val="002141F4"/>
    <w:rsid w:val="00214F33"/>
    <w:rsid w:val="0024513E"/>
    <w:rsid w:val="00246BCA"/>
    <w:rsid w:val="00247739"/>
    <w:rsid w:val="0025367B"/>
    <w:rsid w:val="002539C1"/>
    <w:rsid w:val="00253A87"/>
    <w:rsid w:val="00271B6C"/>
    <w:rsid w:val="00272957"/>
    <w:rsid w:val="0027504E"/>
    <w:rsid w:val="002869A0"/>
    <w:rsid w:val="0029493A"/>
    <w:rsid w:val="00295320"/>
    <w:rsid w:val="00295C1F"/>
    <w:rsid w:val="00295CF8"/>
    <w:rsid w:val="002A1CA9"/>
    <w:rsid w:val="002C5AC4"/>
    <w:rsid w:val="002D5D7E"/>
    <w:rsid w:val="002E1CE2"/>
    <w:rsid w:val="002E44C8"/>
    <w:rsid w:val="002E6C4B"/>
    <w:rsid w:val="002F20CF"/>
    <w:rsid w:val="002F230E"/>
    <w:rsid w:val="002F234F"/>
    <w:rsid w:val="0031090A"/>
    <w:rsid w:val="00310EBE"/>
    <w:rsid w:val="00312153"/>
    <w:rsid w:val="0032202C"/>
    <w:rsid w:val="00323B43"/>
    <w:rsid w:val="00324F1C"/>
    <w:rsid w:val="00325DA9"/>
    <w:rsid w:val="00327C34"/>
    <w:rsid w:val="0033065C"/>
    <w:rsid w:val="00341FEC"/>
    <w:rsid w:val="0034256F"/>
    <w:rsid w:val="00344077"/>
    <w:rsid w:val="00344EE4"/>
    <w:rsid w:val="00345664"/>
    <w:rsid w:val="003519E1"/>
    <w:rsid w:val="00354059"/>
    <w:rsid w:val="00355AD9"/>
    <w:rsid w:val="003572EF"/>
    <w:rsid w:val="00362D5C"/>
    <w:rsid w:val="00363B46"/>
    <w:rsid w:val="00366CF8"/>
    <w:rsid w:val="00372E0F"/>
    <w:rsid w:val="00373DFE"/>
    <w:rsid w:val="00374BA7"/>
    <w:rsid w:val="00377A8F"/>
    <w:rsid w:val="00383C37"/>
    <w:rsid w:val="003869F6"/>
    <w:rsid w:val="00392EF8"/>
    <w:rsid w:val="00395B58"/>
    <w:rsid w:val="0039781C"/>
    <w:rsid w:val="003A0B12"/>
    <w:rsid w:val="003A1095"/>
    <w:rsid w:val="003B42A0"/>
    <w:rsid w:val="003B7935"/>
    <w:rsid w:val="003C5250"/>
    <w:rsid w:val="003D2635"/>
    <w:rsid w:val="003D37D8"/>
    <w:rsid w:val="003D49DE"/>
    <w:rsid w:val="003D4CE9"/>
    <w:rsid w:val="003E4089"/>
    <w:rsid w:val="003E5E59"/>
    <w:rsid w:val="003F3640"/>
    <w:rsid w:val="003F4D30"/>
    <w:rsid w:val="00402DBD"/>
    <w:rsid w:val="0041073B"/>
    <w:rsid w:val="00425410"/>
    <w:rsid w:val="00426133"/>
    <w:rsid w:val="004358AB"/>
    <w:rsid w:val="0044665A"/>
    <w:rsid w:val="004479DB"/>
    <w:rsid w:val="004500AA"/>
    <w:rsid w:val="004523FE"/>
    <w:rsid w:val="00453944"/>
    <w:rsid w:val="00453F6D"/>
    <w:rsid w:val="00454AA7"/>
    <w:rsid w:val="004633F0"/>
    <w:rsid w:val="00463F7C"/>
    <w:rsid w:val="00470D65"/>
    <w:rsid w:val="00474B0E"/>
    <w:rsid w:val="00475603"/>
    <w:rsid w:val="00481A45"/>
    <w:rsid w:val="00481E7B"/>
    <w:rsid w:val="00483FE2"/>
    <w:rsid w:val="0048416A"/>
    <w:rsid w:val="0048447C"/>
    <w:rsid w:val="00485458"/>
    <w:rsid w:val="0048736E"/>
    <w:rsid w:val="004A1E26"/>
    <w:rsid w:val="004A235A"/>
    <w:rsid w:val="004A6F9F"/>
    <w:rsid w:val="004B00BB"/>
    <w:rsid w:val="004B3F43"/>
    <w:rsid w:val="004B4778"/>
    <w:rsid w:val="004B49B4"/>
    <w:rsid w:val="004B5D4E"/>
    <w:rsid w:val="004B5E6B"/>
    <w:rsid w:val="004B76FF"/>
    <w:rsid w:val="004C3A20"/>
    <w:rsid w:val="004D3F39"/>
    <w:rsid w:val="004E249A"/>
    <w:rsid w:val="004E523F"/>
    <w:rsid w:val="004E5B86"/>
    <w:rsid w:val="004F3C4D"/>
    <w:rsid w:val="004F5234"/>
    <w:rsid w:val="004F6D0A"/>
    <w:rsid w:val="005145B2"/>
    <w:rsid w:val="0052385C"/>
    <w:rsid w:val="00526579"/>
    <w:rsid w:val="00530C32"/>
    <w:rsid w:val="0053125B"/>
    <w:rsid w:val="00531736"/>
    <w:rsid w:val="00531EF4"/>
    <w:rsid w:val="00547B28"/>
    <w:rsid w:val="00550284"/>
    <w:rsid w:val="0055058A"/>
    <w:rsid w:val="00551C81"/>
    <w:rsid w:val="00552584"/>
    <w:rsid w:val="00563094"/>
    <w:rsid w:val="00564D26"/>
    <w:rsid w:val="00575381"/>
    <w:rsid w:val="005766AC"/>
    <w:rsid w:val="005809FC"/>
    <w:rsid w:val="005842E6"/>
    <w:rsid w:val="00587048"/>
    <w:rsid w:val="00587886"/>
    <w:rsid w:val="00591289"/>
    <w:rsid w:val="00593A77"/>
    <w:rsid w:val="005A1E01"/>
    <w:rsid w:val="005A259B"/>
    <w:rsid w:val="005A75E9"/>
    <w:rsid w:val="005B2E31"/>
    <w:rsid w:val="005C5AA1"/>
    <w:rsid w:val="005D2F9C"/>
    <w:rsid w:val="005D35DE"/>
    <w:rsid w:val="005D5059"/>
    <w:rsid w:val="005E50BE"/>
    <w:rsid w:val="005F66D1"/>
    <w:rsid w:val="0060029F"/>
    <w:rsid w:val="00610443"/>
    <w:rsid w:val="00612746"/>
    <w:rsid w:val="00616E3C"/>
    <w:rsid w:val="00621C39"/>
    <w:rsid w:val="00622B52"/>
    <w:rsid w:val="00623219"/>
    <w:rsid w:val="00624147"/>
    <w:rsid w:val="00624D43"/>
    <w:rsid w:val="0062532D"/>
    <w:rsid w:val="0062599D"/>
    <w:rsid w:val="00633819"/>
    <w:rsid w:val="006373CA"/>
    <w:rsid w:val="00640C65"/>
    <w:rsid w:val="00642C25"/>
    <w:rsid w:val="00642D95"/>
    <w:rsid w:val="00662E4D"/>
    <w:rsid w:val="00663EC7"/>
    <w:rsid w:val="00670940"/>
    <w:rsid w:val="006711AE"/>
    <w:rsid w:val="00672B2B"/>
    <w:rsid w:val="006746D8"/>
    <w:rsid w:val="00675448"/>
    <w:rsid w:val="00676CB1"/>
    <w:rsid w:val="00686446"/>
    <w:rsid w:val="00687E6C"/>
    <w:rsid w:val="00694F89"/>
    <w:rsid w:val="00695E85"/>
    <w:rsid w:val="006960C0"/>
    <w:rsid w:val="00696215"/>
    <w:rsid w:val="0069680E"/>
    <w:rsid w:val="0069688C"/>
    <w:rsid w:val="006A10A2"/>
    <w:rsid w:val="006A2669"/>
    <w:rsid w:val="006A548A"/>
    <w:rsid w:val="006B68D3"/>
    <w:rsid w:val="006C18EE"/>
    <w:rsid w:val="006C1F86"/>
    <w:rsid w:val="006D0EEF"/>
    <w:rsid w:val="006D0FC0"/>
    <w:rsid w:val="006D26A5"/>
    <w:rsid w:val="006D2BE2"/>
    <w:rsid w:val="006D4391"/>
    <w:rsid w:val="006D4783"/>
    <w:rsid w:val="006D4AAB"/>
    <w:rsid w:val="006D5D7A"/>
    <w:rsid w:val="006D6D9E"/>
    <w:rsid w:val="006D710A"/>
    <w:rsid w:val="006E06EE"/>
    <w:rsid w:val="006E2E1D"/>
    <w:rsid w:val="006F41AA"/>
    <w:rsid w:val="006F5C7E"/>
    <w:rsid w:val="006F5D63"/>
    <w:rsid w:val="006F6228"/>
    <w:rsid w:val="00703F64"/>
    <w:rsid w:val="0070712E"/>
    <w:rsid w:val="0071078E"/>
    <w:rsid w:val="0071445B"/>
    <w:rsid w:val="00714D9E"/>
    <w:rsid w:val="007163FA"/>
    <w:rsid w:val="0071670D"/>
    <w:rsid w:val="007169E6"/>
    <w:rsid w:val="00720EFF"/>
    <w:rsid w:val="00723C16"/>
    <w:rsid w:val="00727E1B"/>
    <w:rsid w:val="007334BA"/>
    <w:rsid w:val="0073779A"/>
    <w:rsid w:val="00742358"/>
    <w:rsid w:val="0074515F"/>
    <w:rsid w:val="0075002B"/>
    <w:rsid w:val="00754BD6"/>
    <w:rsid w:val="0076247C"/>
    <w:rsid w:val="0076286C"/>
    <w:rsid w:val="00762C52"/>
    <w:rsid w:val="007631D1"/>
    <w:rsid w:val="0076439B"/>
    <w:rsid w:val="00765182"/>
    <w:rsid w:val="00766659"/>
    <w:rsid w:val="007706C2"/>
    <w:rsid w:val="007708BC"/>
    <w:rsid w:val="00771E2D"/>
    <w:rsid w:val="00773AB5"/>
    <w:rsid w:val="0077469B"/>
    <w:rsid w:val="00775A95"/>
    <w:rsid w:val="00776AAE"/>
    <w:rsid w:val="007900CE"/>
    <w:rsid w:val="00797DBC"/>
    <w:rsid w:val="007A076E"/>
    <w:rsid w:val="007A1084"/>
    <w:rsid w:val="007A5545"/>
    <w:rsid w:val="007C5210"/>
    <w:rsid w:val="007C543E"/>
    <w:rsid w:val="007C56D2"/>
    <w:rsid w:val="007D1EF4"/>
    <w:rsid w:val="007E0F74"/>
    <w:rsid w:val="007E13FC"/>
    <w:rsid w:val="007E144D"/>
    <w:rsid w:val="007E1A83"/>
    <w:rsid w:val="007E3B53"/>
    <w:rsid w:val="007E4CAB"/>
    <w:rsid w:val="007F09CD"/>
    <w:rsid w:val="007F1DEA"/>
    <w:rsid w:val="007F453D"/>
    <w:rsid w:val="007F7D37"/>
    <w:rsid w:val="00804C79"/>
    <w:rsid w:val="008055EA"/>
    <w:rsid w:val="00806F45"/>
    <w:rsid w:val="00807880"/>
    <w:rsid w:val="00810AF1"/>
    <w:rsid w:val="00816B11"/>
    <w:rsid w:val="00823572"/>
    <w:rsid w:val="00824795"/>
    <w:rsid w:val="0083572A"/>
    <w:rsid w:val="008360C8"/>
    <w:rsid w:val="008447F0"/>
    <w:rsid w:val="00845CC4"/>
    <w:rsid w:val="00850696"/>
    <w:rsid w:val="00867A46"/>
    <w:rsid w:val="008714E2"/>
    <w:rsid w:val="00871548"/>
    <w:rsid w:val="008728C3"/>
    <w:rsid w:val="008826D9"/>
    <w:rsid w:val="00883307"/>
    <w:rsid w:val="00886C6A"/>
    <w:rsid w:val="00887C6F"/>
    <w:rsid w:val="00891D7E"/>
    <w:rsid w:val="00894858"/>
    <w:rsid w:val="00894A19"/>
    <w:rsid w:val="00894E98"/>
    <w:rsid w:val="008B1BF6"/>
    <w:rsid w:val="008B7726"/>
    <w:rsid w:val="008C2229"/>
    <w:rsid w:val="008D0A7D"/>
    <w:rsid w:val="008D4F16"/>
    <w:rsid w:val="008E0A1D"/>
    <w:rsid w:val="008E5759"/>
    <w:rsid w:val="008E6A23"/>
    <w:rsid w:val="008E7144"/>
    <w:rsid w:val="008F28C6"/>
    <w:rsid w:val="008F3689"/>
    <w:rsid w:val="008F7C44"/>
    <w:rsid w:val="009008B1"/>
    <w:rsid w:val="00901527"/>
    <w:rsid w:val="00902301"/>
    <w:rsid w:val="00902AA0"/>
    <w:rsid w:val="009033EA"/>
    <w:rsid w:val="009034CA"/>
    <w:rsid w:val="00906BA6"/>
    <w:rsid w:val="00910B64"/>
    <w:rsid w:val="00912BAC"/>
    <w:rsid w:val="009151AA"/>
    <w:rsid w:val="00920004"/>
    <w:rsid w:val="00920A78"/>
    <w:rsid w:val="009237F7"/>
    <w:rsid w:val="00923E1A"/>
    <w:rsid w:val="00924027"/>
    <w:rsid w:val="00931CA3"/>
    <w:rsid w:val="009333AE"/>
    <w:rsid w:val="00934737"/>
    <w:rsid w:val="00942DE2"/>
    <w:rsid w:val="00946EAE"/>
    <w:rsid w:val="009536E7"/>
    <w:rsid w:val="0095630D"/>
    <w:rsid w:val="00956EF9"/>
    <w:rsid w:val="009704D4"/>
    <w:rsid w:val="00971F12"/>
    <w:rsid w:val="0097710A"/>
    <w:rsid w:val="0098162D"/>
    <w:rsid w:val="009930A6"/>
    <w:rsid w:val="009A182D"/>
    <w:rsid w:val="009A1C84"/>
    <w:rsid w:val="009A4413"/>
    <w:rsid w:val="009A6B09"/>
    <w:rsid w:val="009B0B62"/>
    <w:rsid w:val="009B61A0"/>
    <w:rsid w:val="009B6AFC"/>
    <w:rsid w:val="009C0494"/>
    <w:rsid w:val="009E3AC0"/>
    <w:rsid w:val="009E4D99"/>
    <w:rsid w:val="009E501C"/>
    <w:rsid w:val="009E6230"/>
    <w:rsid w:val="009E7358"/>
    <w:rsid w:val="009F1DB9"/>
    <w:rsid w:val="009F2181"/>
    <w:rsid w:val="009F3BC2"/>
    <w:rsid w:val="00A00F13"/>
    <w:rsid w:val="00A0585B"/>
    <w:rsid w:val="00A2613B"/>
    <w:rsid w:val="00A3387B"/>
    <w:rsid w:val="00A37820"/>
    <w:rsid w:val="00A405E1"/>
    <w:rsid w:val="00A406C2"/>
    <w:rsid w:val="00A4363D"/>
    <w:rsid w:val="00A463AC"/>
    <w:rsid w:val="00A475AC"/>
    <w:rsid w:val="00A516AD"/>
    <w:rsid w:val="00A565CA"/>
    <w:rsid w:val="00A61D68"/>
    <w:rsid w:val="00A62E1C"/>
    <w:rsid w:val="00A6337E"/>
    <w:rsid w:val="00A66D25"/>
    <w:rsid w:val="00A7394C"/>
    <w:rsid w:val="00A75DB8"/>
    <w:rsid w:val="00A84DDD"/>
    <w:rsid w:val="00A9118E"/>
    <w:rsid w:val="00A9453E"/>
    <w:rsid w:val="00AA02EB"/>
    <w:rsid w:val="00AA2D54"/>
    <w:rsid w:val="00AA356E"/>
    <w:rsid w:val="00AA4711"/>
    <w:rsid w:val="00AA751E"/>
    <w:rsid w:val="00AB797C"/>
    <w:rsid w:val="00AC1824"/>
    <w:rsid w:val="00AC5037"/>
    <w:rsid w:val="00AD2940"/>
    <w:rsid w:val="00AD5A64"/>
    <w:rsid w:val="00AE33AE"/>
    <w:rsid w:val="00AE7897"/>
    <w:rsid w:val="00AE7C35"/>
    <w:rsid w:val="00AF0CFD"/>
    <w:rsid w:val="00AF2DC2"/>
    <w:rsid w:val="00AF52C3"/>
    <w:rsid w:val="00AF66FB"/>
    <w:rsid w:val="00AF717A"/>
    <w:rsid w:val="00B05C00"/>
    <w:rsid w:val="00B12DD6"/>
    <w:rsid w:val="00B31E24"/>
    <w:rsid w:val="00B35FF0"/>
    <w:rsid w:val="00B47E5B"/>
    <w:rsid w:val="00B53C55"/>
    <w:rsid w:val="00B53EF0"/>
    <w:rsid w:val="00B55796"/>
    <w:rsid w:val="00B6138A"/>
    <w:rsid w:val="00B70AD8"/>
    <w:rsid w:val="00B736CD"/>
    <w:rsid w:val="00B738A4"/>
    <w:rsid w:val="00B76A8D"/>
    <w:rsid w:val="00B946C0"/>
    <w:rsid w:val="00BA2518"/>
    <w:rsid w:val="00BB4A05"/>
    <w:rsid w:val="00BC0F15"/>
    <w:rsid w:val="00BC78D4"/>
    <w:rsid w:val="00BD12FB"/>
    <w:rsid w:val="00BD291F"/>
    <w:rsid w:val="00BD450C"/>
    <w:rsid w:val="00BD4CF9"/>
    <w:rsid w:val="00BD533F"/>
    <w:rsid w:val="00BD59CA"/>
    <w:rsid w:val="00BD6843"/>
    <w:rsid w:val="00BD6911"/>
    <w:rsid w:val="00BE09EC"/>
    <w:rsid w:val="00BE3403"/>
    <w:rsid w:val="00BE6F95"/>
    <w:rsid w:val="00BE7964"/>
    <w:rsid w:val="00BF02CA"/>
    <w:rsid w:val="00BF2884"/>
    <w:rsid w:val="00BF6F9E"/>
    <w:rsid w:val="00C02053"/>
    <w:rsid w:val="00C033F0"/>
    <w:rsid w:val="00C16D90"/>
    <w:rsid w:val="00C20C35"/>
    <w:rsid w:val="00C3119C"/>
    <w:rsid w:val="00C40ED3"/>
    <w:rsid w:val="00C471DF"/>
    <w:rsid w:val="00C53243"/>
    <w:rsid w:val="00C61EE0"/>
    <w:rsid w:val="00C62319"/>
    <w:rsid w:val="00C6463C"/>
    <w:rsid w:val="00C65440"/>
    <w:rsid w:val="00C71BB3"/>
    <w:rsid w:val="00C73810"/>
    <w:rsid w:val="00C77D02"/>
    <w:rsid w:val="00C8520E"/>
    <w:rsid w:val="00C902A8"/>
    <w:rsid w:val="00C93630"/>
    <w:rsid w:val="00CA46FB"/>
    <w:rsid w:val="00CC1E9F"/>
    <w:rsid w:val="00CC3BB9"/>
    <w:rsid w:val="00CC4326"/>
    <w:rsid w:val="00CC4EEE"/>
    <w:rsid w:val="00CD22ED"/>
    <w:rsid w:val="00CD2545"/>
    <w:rsid w:val="00CD28F4"/>
    <w:rsid w:val="00CD707A"/>
    <w:rsid w:val="00CD7093"/>
    <w:rsid w:val="00CD7746"/>
    <w:rsid w:val="00CE17E3"/>
    <w:rsid w:val="00CE3697"/>
    <w:rsid w:val="00CE684D"/>
    <w:rsid w:val="00CF73B7"/>
    <w:rsid w:val="00D062A5"/>
    <w:rsid w:val="00D13339"/>
    <w:rsid w:val="00D166FB"/>
    <w:rsid w:val="00D27D59"/>
    <w:rsid w:val="00D31D50"/>
    <w:rsid w:val="00D34CE6"/>
    <w:rsid w:val="00D41748"/>
    <w:rsid w:val="00D47A47"/>
    <w:rsid w:val="00D51EAA"/>
    <w:rsid w:val="00D5662C"/>
    <w:rsid w:val="00D6251B"/>
    <w:rsid w:val="00D664E2"/>
    <w:rsid w:val="00D72A99"/>
    <w:rsid w:val="00D740BC"/>
    <w:rsid w:val="00D747D3"/>
    <w:rsid w:val="00D76E58"/>
    <w:rsid w:val="00D809C4"/>
    <w:rsid w:val="00D823E9"/>
    <w:rsid w:val="00D82F27"/>
    <w:rsid w:val="00D83DBD"/>
    <w:rsid w:val="00D84E09"/>
    <w:rsid w:val="00D91B40"/>
    <w:rsid w:val="00D94AB0"/>
    <w:rsid w:val="00D964D4"/>
    <w:rsid w:val="00D9669F"/>
    <w:rsid w:val="00DA7B61"/>
    <w:rsid w:val="00DB4FFF"/>
    <w:rsid w:val="00DC083F"/>
    <w:rsid w:val="00DC19BF"/>
    <w:rsid w:val="00DC3FD2"/>
    <w:rsid w:val="00DC6F3B"/>
    <w:rsid w:val="00DC73DD"/>
    <w:rsid w:val="00DD0CC2"/>
    <w:rsid w:val="00DD1776"/>
    <w:rsid w:val="00DD1C6A"/>
    <w:rsid w:val="00DE4B69"/>
    <w:rsid w:val="00DE4FFE"/>
    <w:rsid w:val="00DE5970"/>
    <w:rsid w:val="00DE6A04"/>
    <w:rsid w:val="00DF58ED"/>
    <w:rsid w:val="00DF7BE9"/>
    <w:rsid w:val="00E00366"/>
    <w:rsid w:val="00E02C79"/>
    <w:rsid w:val="00E042B7"/>
    <w:rsid w:val="00E0709B"/>
    <w:rsid w:val="00E125D0"/>
    <w:rsid w:val="00E15A1E"/>
    <w:rsid w:val="00E229BF"/>
    <w:rsid w:val="00E2326F"/>
    <w:rsid w:val="00E24B74"/>
    <w:rsid w:val="00E37772"/>
    <w:rsid w:val="00E45462"/>
    <w:rsid w:val="00E45D2F"/>
    <w:rsid w:val="00E53CCB"/>
    <w:rsid w:val="00E625C1"/>
    <w:rsid w:val="00E658A7"/>
    <w:rsid w:val="00E66036"/>
    <w:rsid w:val="00E6627E"/>
    <w:rsid w:val="00E71720"/>
    <w:rsid w:val="00E801A6"/>
    <w:rsid w:val="00E84FBA"/>
    <w:rsid w:val="00E93AC5"/>
    <w:rsid w:val="00E93F51"/>
    <w:rsid w:val="00E95D14"/>
    <w:rsid w:val="00EA7FE3"/>
    <w:rsid w:val="00EB2356"/>
    <w:rsid w:val="00EB3A4D"/>
    <w:rsid w:val="00EB4AEF"/>
    <w:rsid w:val="00EB659E"/>
    <w:rsid w:val="00EC0CC8"/>
    <w:rsid w:val="00EC5F1E"/>
    <w:rsid w:val="00ED1E02"/>
    <w:rsid w:val="00ED3A0D"/>
    <w:rsid w:val="00EE33F7"/>
    <w:rsid w:val="00EF352F"/>
    <w:rsid w:val="00EF427F"/>
    <w:rsid w:val="00EF4973"/>
    <w:rsid w:val="00EF649B"/>
    <w:rsid w:val="00EF7D85"/>
    <w:rsid w:val="00F06FC8"/>
    <w:rsid w:val="00F07240"/>
    <w:rsid w:val="00F1051F"/>
    <w:rsid w:val="00F1295A"/>
    <w:rsid w:val="00F1621E"/>
    <w:rsid w:val="00F1737D"/>
    <w:rsid w:val="00F20979"/>
    <w:rsid w:val="00F2225F"/>
    <w:rsid w:val="00F247A0"/>
    <w:rsid w:val="00F24DF5"/>
    <w:rsid w:val="00F40D9C"/>
    <w:rsid w:val="00F5148D"/>
    <w:rsid w:val="00F51977"/>
    <w:rsid w:val="00F529B5"/>
    <w:rsid w:val="00F63D80"/>
    <w:rsid w:val="00F647A0"/>
    <w:rsid w:val="00F64944"/>
    <w:rsid w:val="00F65606"/>
    <w:rsid w:val="00F732E1"/>
    <w:rsid w:val="00F75E39"/>
    <w:rsid w:val="00F76712"/>
    <w:rsid w:val="00F9004B"/>
    <w:rsid w:val="00F90F7B"/>
    <w:rsid w:val="00F91AB8"/>
    <w:rsid w:val="00F91F34"/>
    <w:rsid w:val="00F92F46"/>
    <w:rsid w:val="00F936B6"/>
    <w:rsid w:val="00FA4F38"/>
    <w:rsid w:val="00FC0D21"/>
    <w:rsid w:val="00FC0DF5"/>
    <w:rsid w:val="00FC1B63"/>
    <w:rsid w:val="00FC2428"/>
    <w:rsid w:val="00FD4AA4"/>
    <w:rsid w:val="00FE00F9"/>
    <w:rsid w:val="00FE5412"/>
    <w:rsid w:val="0244104A"/>
    <w:rsid w:val="02F319D1"/>
    <w:rsid w:val="09183FD8"/>
    <w:rsid w:val="0AE3754E"/>
    <w:rsid w:val="0FF47601"/>
    <w:rsid w:val="13C04D79"/>
    <w:rsid w:val="1C31474A"/>
    <w:rsid w:val="1FB57168"/>
    <w:rsid w:val="20B1764F"/>
    <w:rsid w:val="24BD7B04"/>
    <w:rsid w:val="2B472954"/>
    <w:rsid w:val="348B5781"/>
    <w:rsid w:val="372E18EF"/>
    <w:rsid w:val="387500C6"/>
    <w:rsid w:val="401D79A6"/>
    <w:rsid w:val="4199493D"/>
    <w:rsid w:val="453D0594"/>
    <w:rsid w:val="490D512B"/>
    <w:rsid w:val="49DE3B6B"/>
    <w:rsid w:val="4B010851"/>
    <w:rsid w:val="538C1942"/>
    <w:rsid w:val="5AF865A4"/>
    <w:rsid w:val="61C76C69"/>
    <w:rsid w:val="61D32628"/>
    <w:rsid w:val="66D226BA"/>
    <w:rsid w:val="6C413068"/>
    <w:rsid w:val="6D4B1CE7"/>
    <w:rsid w:val="6ED91CC2"/>
    <w:rsid w:val="706C18DA"/>
    <w:rsid w:val="72DE10A0"/>
    <w:rsid w:val="74A00563"/>
    <w:rsid w:val="754763C8"/>
    <w:rsid w:val="7C2B603A"/>
    <w:rsid w:val="7D2F7F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5">
    <w:name w:val="heading 1"/>
    <w:basedOn w:val="1"/>
    <w:next w:val="1"/>
    <w:autoRedefine/>
    <w:qFormat/>
    <w:locked/>
    <w:uiPriority w:val="9"/>
    <w:pPr>
      <w:keepNext/>
      <w:keepLines/>
      <w:spacing w:line="360" w:lineRule="auto"/>
      <w:outlineLvl w:val="0"/>
    </w:pPr>
    <w:rPr>
      <w:b/>
      <w:bCs/>
      <w:kern w:val="44"/>
      <w:sz w:val="30"/>
      <w:szCs w:val="44"/>
    </w:rPr>
  </w:style>
  <w:style w:type="paragraph" w:styleId="6">
    <w:name w:val="heading 3"/>
    <w:basedOn w:val="1"/>
    <w:next w:val="1"/>
    <w:link w:val="29"/>
    <w:autoRedefine/>
    <w:semiHidden/>
    <w:unhideWhenUsed/>
    <w:qFormat/>
    <w:locked/>
    <w:uiPriority w:val="0"/>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1"/>
    <w:autoRedefine/>
    <w:qFormat/>
    <w:uiPriority w:val="99"/>
    <w:pPr>
      <w:spacing w:after="120"/>
    </w:pPr>
  </w:style>
  <w:style w:type="paragraph" w:customStyle="1" w:styleId="3">
    <w:name w:val="xl27"/>
    <w:basedOn w:val="1"/>
    <w:next w:val="4"/>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color w:val="000000"/>
      <w:sz w:val="20"/>
      <w:szCs w:val="20"/>
    </w:rPr>
  </w:style>
  <w:style w:type="paragraph" w:customStyle="1" w:styleId="4">
    <w:name w:val="A正文"/>
    <w:autoRedefine/>
    <w:qFormat/>
    <w:uiPriority w:val="0"/>
    <w:pPr>
      <w:spacing w:line="480" w:lineRule="exact"/>
      <w:ind w:firstLine="480"/>
    </w:pPr>
    <w:rPr>
      <w:rFonts w:ascii="宋体" w:hAnsi="宋体" w:eastAsia="宋体" w:cs="Times New Roman"/>
      <w:sz w:val="24"/>
      <w:szCs w:val="22"/>
      <w:lang w:val="en-US" w:eastAsia="zh-CN" w:bidi="ar-SA"/>
    </w:rPr>
  </w:style>
  <w:style w:type="paragraph" w:styleId="7">
    <w:name w:val="Document Map"/>
    <w:basedOn w:val="1"/>
    <w:link w:val="24"/>
    <w:autoRedefine/>
    <w:semiHidden/>
    <w:qFormat/>
    <w:uiPriority w:val="99"/>
    <w:pPr>
      <w:shd w:val="clear" w:color="auto" w:fill="000080"/>
    </w:pPr>
  </w:style>
  <w:style w:type="paragraph" w:styleId="8">
    <w:name w:val="Body Text Indent"/>
    <w:basedOn w:val="1"/>
    <w:link w:val="27"/>
    <w:autoRedefine/>
    <w:semiHidden/>
    <w:unhideWhenUsed/>
    <w:qFormat/>
    <w:uiPriority w:val="99"/>
    <w:pPr>
      <w:spacing w:after="120"/>
      <w:ind w:left="420" w:leftChars="200"/>
    </w:pPr>
  </w:style>
  <w:style w:type="paragraph" w:styleId="9">
    <w:name w:val="Balloon Text"/>
    <w:basedOn w:val="1"/>
    <w:link w:val="31"/>
    <w:autoRedefine/>
    <w:semiHidden/>
    <w:unhideWhenUsed/>
    <w:qFormat/>
    <w:uiPriority w:val="99"/>
    <w:pPr>
      <w:spacing w:after="0"/>
    </w:pPr>
    <w:rPr>
      <w:sz w:val="18"/>
      <w:szCs w:val="18"/>
    </w:rPr>
  </w:style>
  <w:style w:type="paragraph" w:styleId="10">
    <w:name w:val="footer"/>
    <w:basedOn w:val="1"/>
    <w:link w:val="20"/>
    <w:autoRedefine/>
    <w:qFormat/>
    <w:uiPriority w:val="99"/>
    <w:pPr>
      <w:tabs>
        <w:tab w:val="center" w:pos="4153"/>
        <w:tab w:val="right" w:pos="8306"/>
      </w:tabs>
    </w:pPr>
    <w:rPr>
      <w:sz w:val="18"/>
      <w:szCs w:val="18"/>
    </w:rPr>
  </w:style>
  <w:style w:type="paragraph" w:styleId="11">
    <w:name w:val="header"/>
    <w:basedOn w:val="1"/>
    <w:link w:val="19"/>
    <w:autoRedefine/>
    <w:semiHidden/>
    <w:qFormat/>
    <w:uiPriority w:val="99"/>
    <w:pPr>
      <w:pBdr>
        <w:bottom w:val="single" w:color="auto" w:sz="6" w:space="1"/>
      </w:pBdr>
      <w:tabs>
        <w:tab w:val="center" w:pos="4153"/>
        <w:tab w:val="right" w:pos="8306"/>
      </w:tabs>
      <w:jc w:val="center"/>
    </w:pPr>
    <w:rPr>
      <w:sz w:val="18"/>
      <w:szCs w:val="18"/>
    </w:rPr>
  </w:style>
  <w:style w:type="paragraph" w:styleId="12">
    <w:name w:val="toc 2"/>
    <w:basedOn w:val="1"/>
    <w:next w:val="1"/>
    <w:autoRedefine/>
    <w:unhideWhenUsed/>
    <w:qFormat/>
    <w:locked/>
    <w:uiPriority w:val="0"/>
    <w:pPr>
      <w:ind w:left="420" w:leftChars="200"/>
    </w:pPr>
  </w:style>
  <w:style w:type="paragraph" w:styleId="13">
    <w:name w:val="Normal (Web)"/>
    <w:basedOn w:val="1"/>
    <w:autoRedefine/>
    <w:qFormat/>
    <w:uiPriority w:val="0"/>
    <w:pPr>
      <w:adjustRightInd/>
      <w:snapToGrid/>
      <w:spacing w:before="100" w:beforeAutospacing="1" w:after="100" w:afterAutospacing="1"/>
    </w:pPr>
    <w:rPr>
      <w:rFonts w:ascii="宋体" w:hAnsi="宋体" w:eastAsia="宋体"/>
      <w:sz w:val="24"/>
      <w:szCs w:val="24"/>
    </w:rPr>
  </w:style>
  <w:style w:type="paragraph" w:styleId="14">
    <w:name w:val="Title"/>
    <w:basedOn w:val="1"/>
    <w:next w:val="1"/>
    <w:link w:val="23"/>
    <w:autoRedefine/>
    <w:qFormat/>
    <w:uiPriority w:val="99"/>
    <w:pPr>
      <w:spacing w:before="240" w:after="60"/>
      <w:jc w:val="center"/>
      <w:outlineLvl w:val="0"/>
    </w:pPr>
    <w:rPr>
      <w:rFonts w:ascii="Cambria" w:hAnsi="Cambria" w:eastAsia="宋体"/>
      <w:b/>
      <w:bCs/>
      <w:sz w:val="32"/>
      <w:szCs w:val="32"/>
    </w:rPr>
  </w:style>
  <w:style w:type="paragraph" w:styleId="15">
    <w:name w:val="Body Text First Indent"/>
    <w:basedOn w:val="2"/>
    <w:link w:val="22"/>
    <w:autoRedefine/>
    <w:qFormat/>
    <w:uiPriority w:val="99"/>
    <w:pPr>
      <w:widowControl w:val="0"/>
      <w:adjustRightInd/>
      <w:snapToGrid/>
      <w:ind w:firstLine="420" w:firstLineChars="100"/>
      <w:jc w:val="both"/>
    </w:pPr>
    <w:rPr>
      <w:rFonts w:ascii="Times New Roman" w:hAnsi="Times New Roman" w:eastAsia="宋体"/>
      <w:kern w:val="2"/>
      <w:sz w:val="21"/>
      <w:szCs w:val="24"/>
    </w:rPr>
  </w:style>
  <w:style w:type="paragraph" w:styleId="16">
    <w:name w:val="Body Text First Indent 2"/>
    <w:basedOn w:val="8"/>
    <w:link w:val="28"/>
    <w:autoRedefine/>
    <w:semiHidden/>
    <w:unhideWhenUsed/>
    <w:qFormat/>
    <w:uiPriority w:val="99"/>
    <w:pPr>
      <w:ind w:firstLine="420" w:firstLineChars="200"/>
    </w:pPr>
  </w:style>
  <w:style w:type="character" w:customStyle="1" w:styleId="19">
    <w:name w:val="页眉 Char"/>
    <w:basedOn w:val="18"/>
    <w:link w:val="11"/>
    <w:autoRedefine/>
    <w:semiHidden/>
    <w:qFormat/>
    <w:locked/>
    <w:uiPriority w:val="99"/>
    <w:rPr>
      <w:rFonts w:ascii="Tahoma" w:hAnsi="Tahoma" w:cs="Times New Roman"/>
      <w:sz w:val="18"/>
      <w:szCs w:val="18"/>
    </w:rPr>
  </w:style>
  <w:style w:type="character" w:customStyle="1" w:styleId="20">
    <w:name w:val="页脚 Char"/>
    <w:basedOn w:val="18"/>
    <w:link w:val="10"/>
    <w:autoRedefine/>
    <w:qFormat/>
    <w:locked/>
    <w:uiPriority w:val="99"/>
    <w:rPr>
      <w:rFonts w:ascii="Tahoma" w:hAnsi="Tahoma" w:cs="Times New Roman"/>
      <w:sz w:val="18"/>
      <w:szCs w:val="18"/>
    </w:rPr>
  </w:style>
  <w:style w:type="character" w:customStyle="1" w:styleId="21">
    <w:name w:val="正文文本 Char"/>
    <w:basedOn w:val="18"/>
    <w:link w:val="2"/>
    <w:autoRedefine/>
    <w:qFormat/>
    <w:locked/>
    <w:uiPriority w:val="99"/>
    <w:rPr>
      <w:rFonts w:ascii="Tahoma" w:hAnsi="Tahoma" w:cs="Times New Roman"/>
    </w:rPr>
  </w:style>
  <w:style w:type="character" w:customStyle="1" w:styleId="22">
    <w:name w:val="正文首行缩进 Char"/>
    <w:basedOn w:val="21"/>
    <w:link w:val="15"/>
    <w:autoRedefine/>
    <w:qFormat/>
    <w:locked/>
    <w:uiPriority w:val="99"/>
    <w:rPr>
      <w:rFonts w:ascii="Times New Roman" w:hAnsi="Times New Roman" w:eastAsia="宋体" w:cs="Times New Roman"/>
      <w:kern w:val="2"/>
      <w:sz w:val="24"/>
      <w:szCs w:val="24"/>
    </w:rPr>
  </w:style>
  <w:style w:type="character" w:customStyle="1" w:styleId="23">
    <w:name w:val="标题 Char"/>
    <w:basedOn w:val="18"/>
    <w:link w:val="14"/>
    <w:autoRedefine/>
    <w:qFormat/>
    <w:locked/>
    <w:uiPriority w:val="99"/>
    <w:rPr>
      <w:rFonts w:ascii="Cambria" w:hAnsi="Cambria" w:eastAsia="宋体" w:cs="Times New Roman"/>
      <w:b/>
      <w:bCs/>
      <w:sz w:val="32"/>
      <w:szCs w:val="32"/>
    </w:rPr>
  </w:style>
  <w:style w:type="character" w:customStyle="1" w:styleId="24">
    <w:name w:val="文档结构图 Char"/>
    <w:basedOn w:val="18"/>
    <w:link w:val="7"/>
    <w:autoRedefine/>
    <w:semiHidden/>
    <w:qFormat/>
    <w:locked/>
    <w:uiPriority w:val="99"/>
    <w:rPr>
      <w:rFonts w:ascii="Times New Roman" w:hAnsi="Times New Roman" w:cs="Times New Roman"/>
      <w:kern w:val="0"/>
      <w:sz w:val="2"/>
    </w:rPr>
  </w:style>
  <w:style w:type="paragraph" w:customStyle="1" w:styleId="25">
    <w:name w:val="reader-word-layer reader-word-s1-5"/>
    <w:basedOn w:val="1"/>
    <w:autoRedefine/>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26">
    <w:name w:val="reader-word-layer reader-word-s1-8"/>
    <w:basedOn w:val="1"/>
    <w:autoRedefine/>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27">
    <w:name w:val="正文文本缩进 Char"/>
    <w:basedOn w:val="18"/>
    <w:link w:val="8"/>
    <w:autoRedefine/>
    <w:semiHidden/>
    <w:qFormat/>
    <w:uiPriority w:val="99"/>
    <w:rPr>
      <w:rFonts w:ascii="Tahoma" w:hAnsi="Tahoma"/>
      <w:sz w:val="22"/>
      <w:szCs w:val="22"/>
    </w:rPr>
  </w:style>
  <w:style w:type="character" w:customStyle="1" w:styleId="28">
    <w:name w:val="正文首行缩进 2 Char"/>
    <w:basedOn w:val="27"/>
    <w:link w:val="16"/>
    <w:autoRedefine/>
    <w:semiHidden/>
    <w:qFormat/>
    <w:uiPriority w:val="99"/>
    <w:rPr>
      <w:rFonts w:ascii="Tahoma" w:hAnsi="Tahoma"/>
      <w:sz w:val="22"/>
      <w:szCs w:val="22"/>
    </w:rPr>
  </w:style>
  <w:style w:type="character" w:customStyle="1" w:styleId="29">
    <w:name w:val="标题 3 Char"/>
    <w:basedOn w:val="18"/>
    <w:link w:val="6"/>
    <w:autoRedefine/>
    <w:semiHidden/>
    <w:qFormat/>
    <w:uiPriority w:val="0"/>
    <w:rPr>
      <w:rFonts w:ascii="Tahoma" w:hAnsi="Tahoma"/>
      <w:b/>
      <w:bCs/>
      <w:sz w:val="32"/>
      <w:szCs w:val="32"/>
    </w:rPr>
  </w:style>
  <w:style w:type="paragraph" w:styleId="30">
    <w:name w:val="List Paragraph"/>
    <w:basedOn w:val="1"/>
    <w:autoRedefine/>
    <w:unhideWhenUsed/>
    <w:qFormat/>
    <w:uiPriority w:val="99"/>
    <w:pPr>
      <w:ind w:firstLine="420" w:firstLineChars="200"/>
    </w:pPr>
  </w:style>
  <w:style w:type="character" w:customStyle="1" w:styleId="31">
    <w:name w:val="批注框文本 Char"/>
    <w:basedOn w:val="18"/>
    <w:link w:val="9"/>
    <w:autoRedefine/>
    <w:semiHidden/>
    <w:qFormat/>
    <w:uiPriority w:val="99"/>
    <w:rPr>
      <w:rFonts w:ascii="Tahoma" w:hAnsi="Tahoma"/>
      <w:sz w:val="18"/>
      <w:szCs w:val="18"/>
    </w:rPr>
  </w:style>
  <w:style w:type="character" w:customStyle="1" w:styleId="32">
    <w:name w:val="fontstyle01"/>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191</Words>
  <Characters>1090</Characters>
  <Lines>9</Lines>
  <Paragraphs>2</Paragraphs>
  <TotalTime>829</TotalTime>
  <ScaleCrop>false</ScaleCrop>
  <LinksUpToDate>false</LinksUpToDate>
  <CharactersWithSpaces>1279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2022-04-07T07:22:00Z</dcterms:created>
  <dc:creator>Administrator</dc:creator>
  <cp:lastModifiedBy>.柱子哥™</cp:lastModifiedBy>
  <cp:lastPrinted>2022-04-06T07:55:00Z</cp:lastPrinted>
  <dcterms:modified xsi:type="dcterms:W3CDTF">2024-04-11T02:12:23Z</dcterms:modified>
  <dc:title>益环预审(书)[2017] 号</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6AB151AFF14948FD9EAD36F085E794D4_13</vt:lpwstr>
  </property>
</Properties>
</file>