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eastAsia="黑体"/>
          <w:color w:val="auto"/>
          <w:sz w:val="32"/>
          <w:szCs w:val="32"/>
        </w:rPr>
      </w:pPr>
    </w:p>
    <w:p>
      <w:pPr>
        <w:spacing w:line="600" w:lineRule="exact"/>
        <w:rPr>
          <w:rFonts w:eastAsia="黑体"/>
          <w:color w:val="auto"/>
          <w:sz w:val="32"/>
          <w:szCs w:val="32"/>
        </w:rPr>
      </w:pPr>
    </w:p>
    <w:p>
      <w:pPr>
        <w:spacing w:line="600" w:lineRule="exact"/>
        <w:rPr>
          <w:rFonts w:eastAsia="黑体"/>
          <w:color w:val="auto"/>
          <w:sz w:val="32"/>
          <w:szCs w:val="32"/>
        </w:rPr>
      </w:pPr>
    </w:p>
    <w:p>
      <w:pPr>
        <w:jc w:val="center"/>
        <w:rPr>
          <w:rFonts w:eastAsia="方正小标宋_GBK"/>
          <w:color w:val="auto"/>
          <w:sz w:val="52"/>
          <w:szCs w:val="52"/>
        </w:rPr>
      </w:pPr>
      <w:r>
        <w:rPr>
          <w:rFonts w:eastAsia="方正小标宋_GBK"/>
          <w:color w:val="auto"/>
          <w:sz w:val="52"/>
          <w:szCs w:val="52"/>
        </w:rPr>
        <w:t>2021年度</w:t>
      </w:r>
      <w:r>
        <w:rPr>
          <w:rFonts w:hint="eastAsia" w:eastAsia="方正小标宋_GBK"/>
          <w:color w:val="auto"/>
          <w:sz w:val="52"/>
          <w:szCs w:val="52"/>
          <w:lang w:eastAsia="zh-CN"/>
        </w:rPr>
        <w:t>桃花源城管分</w:t>
      </w:r>
      <w:r>
        <w:rPr>
          <w:rFonts w:hint="eastAsia" w:eastAsia="方正小标宋_GBK"/>
          <w:color w:val="auto"/>
          <w:sz w:val="52"/>
          <w:szCs w:val="52"/>
        </w:rPr>
        <w:t>局</w:t>
      </w:r>
      <w:r>
        <w:rPr>
          <w:rFonts w:eastAsia="方正小标宋_GBK"/>
          <w:color w:val="auto"/>
          <w:sz w:val="52"/>
          <w:szCs w:val="52"/>
        </w:rPr>
        <w:t>整体支出</w:t>
      </w:r>
    </w:p>
    <w:p>
      <w:pPr>
        <w:jc w:val="center"/>
        <w:rPr>
          <w:rFonts w:eastAsia="方正小标宋_GBK"/>
          <w:color w:val="auto"/>
          <w:sz w:val="52"/>
          <w:szCs w:val="52"/>
        </w:rPr>
      </w:pPr>
      <w:r>
        <w:rPr>
          <w:rFonts w:eastAsia="方正小标宋_GBK"/>
          <w:color w:val="auto"/>
          <w:sz w:val="52"/>
          <w:szCs w:val="52"/>
        </w:rPr>
        <w:t>绩效自评报告</w:t>
      </w:r>
    </w:p>
    <w:p>
      <w:pPr>
        <w:jc w:val="center"/>
        <w:rPr>
          <w:rFonts w:eastAsia="方正小标宋_GBK"/>
          <w:b/>
          <w:color w:val="auto"/>
          <w:sz w:val="52"/>
          <w:szCs w:val="52"/>
        </w:rPr>
      </w:pPr>
    </w:p>
    <w:p>
      <w:pPr>
        <w:jc w:val="center"/>
        <w:rPr>
          <w:rFonts w:eastAsia="黑体"/>
          <w:color w:val="auto"/>
          <w:sz w:val="32"/>
          <w:szCs w:val="32"/>
        </w:rPr>
      </w:pPr>
    </w:p>
    <w:p>
      <w:pPr>
        <w:jc w:val="center"/>
        <w:rPr>
          <w:rFonts w:eastAsia="黑体"/>
          <w:color w:val="auto"/>
          <w:sz w:val="32"/>
          <w:szCs w:val="32"/>
        </w:rPr>
      </w:pPr>
    </w:p>
    <w:p>
      <w:pPr>
        <w:jc w:val="center"/>
        <w:rPr>
          <w:rFonts w:eastAsia="黑体"/>
          <w:color w:val="auto"/>
          <w:sz w:val="32"/>
          <w:szCs w:val="32"/>
        </w:rPr>
      </w:pPr>
    </w:p>
    <w:p>
      <w:pPr>
        <w:jc w:val="center"/>
        <w:rPr>
          <w:rFonts w:eastAsia="黑体"/>
          <w:color w:val="auto"/>
          <w:sz w:val="32"/>
          <w:szCs w:val="32"/>
        </w:rPr>
      </w:pPr>
    </w:p>
    <w:p>
      <w:pPr>
        <w:jc w:val="center"/>
        <w:rPr>
          <w:rFonts w:eastAsia="黑体"/>
          <w:color w:val="auto"/>
          <w:sz w:val="32"/>
          <w:szCs w:val="32"/>
        </w:rPr>
      </w:pPr>
    </w:p>
    <w:p>
      <w:pPr>
        <w:jc w:val="center"/>
        <w:rPr>
          <w:rFonts w:eastAsia="黑体"/>
          <w:color w:val="auto"/>
          <w:sz w:val="32"/>
          <w:szCs w:val="32"/>
        </w:rPr>
      </w:pPr>
    </w:p>
    <w:p>
      <w:pPr>
        <w:jc w:val="center"/>
        <w:rPr>
          <w:rFonts w:eastAsia="黑体"/>
          <w:color w:val="auto"/>
          <w:sz w:val="32"/>
          <w:szCs w:val="32"/>
        </w:rPr>
      </w:pPr>
    </w:p>
    <w:p>
      <w:pPr>
        <w:jc w:val="center"/>
        <w:rPr>
          <w:rFonts w:eastAsia="黑体"/>
          <w:color w:val="auto"/>
          <w:sz w:val="32"/>
          <w:szCs w:val="32"/>
        </w:rPr>
      </w:pPr>
    </w:p>
    <w:p>
      <w:pPr>
        <w:spacing w:line="600" w:lineRule="exact"/>
        <w:rPr>
          <w:rFonts w:eastAsia="仿宋"/>
          <w:color w:val="auto"/>
          <w:sz w:val="32"/>
          <w:szCs w:val="32"/>
          <w:u w:val="single"/>
        </w:rPr>
      </w:pPr>
      <w:r>
        <w:rPr>
          <w:rFonts w:eastAsia="仿宋"/>
          <w:color w:val="auto"/>
          <w:sz w:val="32"/>
          <w:szCs w:val="32"/>
        </w:rPr>
        <w:t>单位名称：</w:t>
      </w:r>
      <w:r>
        <w:rPr>
          <w:rFonts w:hint="eastAsia" w:eastAsia="仿宋"/>
          <w:color w:val="auto"/>
          <w:sz w:val="32"/>
          <w:szCs w:val="32"/>
          <w:u w:val="single"/>
          <w:lang w:eastAsia="zh-CN"/>
        </w:rPr>
        <w:t>常德市城市管理和综合执法局桃花源分</w:t>
      </w:r>
      <w:r>
        <w:rPr>
          <w:rFonts w:eastAsia="仿宋"/>
          <w:color w:val="auto"/>
          <w:sz w:val="32"/>
          <w:szCs w:val="32"/>
          <w:u w:val="single"/>
        </w:rPr>
        <w:t>局</w:t>
      </w:r>
    </w:p>
    <w:p>
      <w:pPr>
        <w:spacing w:line="600" w:lineRule="exact"/>
        <w:ind w:firstLine="3200" w:firstLineChars="1000"/>
        <w:rPr>
          <w:rFonts w:eastAsia="仿宋"/>
          <w:color w:val="auto"/>
          <w:sz w:val="32"/>
          <w:szCs w:val="32"/>
        </w:rPr>
      </w:pPr>
      <w:r>
        <w:rPr>
          <w:rFonts w:eastAsia="仿宋"/>
          <w:color w:val="auto"/>
          <w:sz w:val="32"/>
          <w:szCs w:val="32"/>
        </w:rPr>
        <w:t>2022年</w:t>
      </w:r>
      <w:r>
        <w:rPr>
          <w:rFonts w:hint="eastAsia" w:eastAsia="仿宋"/>
          <w:color w:val="auto"/>
          <w:sz w:val="32"/>
          <w:szCs w:val="32"/>
          <w:lang w:val="en-US" w:eastAsia="zh-CN"/>
        </w:rPr>
        <w:t>9</w:t>
      </w:r>
      <w:r>
        <w:rPr>
          <w:rFonts w:eastAsia="仿宋"/>
          <w:color w:val="auto"/>
          <w:sz w:val="32"/>
          <w:szCs w:val="32"/>
        </w:rPr>
        <w:t>月</w:t>
      </w:r>
      <w:r>
        <w:rPr>
          <w:rFonts w:hint="eastAsia" w:eastAsia="仿宋"/>
          <w:color w:val="auto"/>
          <w:sz w:val="32"/>
          <w:szCs w:val="32"/>
          <w:lang w:val="en-US" w:eastAsia="zh-CN"/>
        </w:rPr>
        <w:t>20</w:t>
      </w:r>
      <w:r>
        <w:rPr>
          <w:rFonts w:eastAsia="仿宋"/>
          <w:color w:val="auto"/>
          <w:sz w:val="32"/>
          <w:szCs w:val="32"/>
        </w:rPr>
        <w:t>日</w:t>
      </w:r>
    </w:p>
    <w:p>
      <w:pPr>
        <w:spacing w:line="560" w:lineRule="exact"/>
        <w:rPr>
          <w:rFonts w:eastAsia="方正小标宋_GBK"/>
          <w:color w:val="auto"/>
          <w:sz w:val="44"/>
          <w:szCs w:val="44"/>
        </w:rPr>
      </w:pPr>
    </w:p>
    <w:p>
      <w:pPr>
        <w:spacing w:line="560" w:lineRule="exact"/>
        <w:rPr>
          <w:rFonts w:eastAsia="方正小标宋_GBK"/>
          <w:color w:val="auto"/>
          <w:sz w:val="44"/>
          <w:szCs w:val="44"/>
        </w:rPr>
      </w:pPr>
    </w:p>
    <w:p>
      <w:pPr>
        <w:spacing w:line="560" w:lineRule="exact"/>
        <w:rPr>
          <w:rFonts w:eastAsia="方正小标宋_GBK"/>
          <w:color w:val="auto"/>
          <w:sz w:val="44"/>
          <w:szCs w:val="44"/>
        </w:rPr>
      </w:pPr>
    </w:p>
    <w:p>
      <w:pPr>
        <w:spacing w:line="560" w:lineRule="exact"/>
        <w:jc w:val="center"/>
        <w:rPr>
          <w:rFonts w:eastAsia="方正小标宋_GBK"/>
          <w:color w:val="auto"/>
          <w:sz w:val="44"/>
          <w:szCs w:val="44"/>
        </w:rPr>
      </w:pPr>
    </w:p>
    <w:p>
      <w:pPr>
        <w:spacing w:line="560" w:lineRule="exact"/>
        <w:jc w:val="center"/>
        <w:rPr>
          <w:rFonts w:eastAsia="方正小标宋_GBK"/>
          <w:color w:val="auto"/>
          <w:sz w:val="44"/>
          <w:szCs w:val="44"/>
        </w:rPr>
      </w:pPr>
    </w:p>
    <w:p>
      <w:pPr>
        <w:spacing w:line="560" w:lineRule="exact"/>
        <w:jc w:val="center"/>
        <w:rPr>
          <w:rFonts w:eastAsia="方正小标宋_GBK"/>
          <w:color w:val="auto"/>
          <w:sz w:val="44"/>
          <w:szCs w:val="44"/>
        </w:rPr>
      </w:pPr>
    </w:p>
    <w:p>
      <w:pPr>
        <w:spacing w:line="560" w:lineRule="exact"/>
        <w:jc w:val="center"/>
        <w:rPr>
          <w:rFonts w:eastAsia="方正小标宋_GBK"/>
          <w:color w:val="auto"/>
          <w:sz w:val="44"/>
          <w:szCs w:val="44"/>
        </w:rPr>
      </w:pPr>
      <w:r>
        <w:rPr>
          <w:rFonts w:eastAsia="方正小标宋_GBK"/>
          <w:color w:val="auto"/>
          <w:sz w:val="44"/>
          <w:szCs w:val="44"/>
        </w:rPr>
        <w:t>2021年度</w:t>
      </w:r>
      <w:r>
        <w:rPr>
          <w:rFonts w:hint="eastAsia" w:eastAsia="方正小标宋_GBK"/>
          <w:color w:val="auto"/>
          <w:sz w:val="44"/>
          <w:szCs w:val="44"/>
          <w:lang w:eastAsia="zh-CN"/>
        </w:rPr>
        <w:t>桃花源城管分</w:t>
      </w:r>
      <w:r>
        <w:rPr>
          <w:rFonts w:hint="eastAsia" w:eastAsia="方正小标宋_GBK"/>
          <w:color w:val="auto"/>
          <w:sz w:val="44"/>
          <w:szCs w:val="44"/>
        </w:rPr>
        <w:t>局</w:t>
      </w:r>
      <w:r>
        <w:rPr>
          <w:rFonts w:eastAsia="方正小标宋_GBK"/>
          <w:color w:val="auto"/>
          <w:sz w:val="44"/>
          <w:szCs w:val="44"/>
        </w:rPr>
        <w:t>整体支出</w:t>
      </w:r>
    </w:p>
    <w:p>
      <w:pPr>
        <w:spacing w:line="560" w:lineRule="exact"/>
        <w:jc w:val="center"/>
        <w:rPr>
          <w:rFonts w:eastAsia="方正小标宋_GBK"/>
          <w:color w:val="auto"/>
          <w:sz w:val="44"/>
          <w:szCs w:val="44"/>
        </w:rPr>
      </w:pPr>
      <w:r>
        <w:rPr>
          <w:rFonts w:eastAsia="方正小标宋_GBK"/>
          <w:color w:val="auto"/>
          <w:sz w:val="44"/>
          <w:szCs w:val="44"/>
        </w:rPr>
        <w:t>绩效自评报告</w:t>
      </w:r>
    </w:p>
    <w:p>
      <w:pPr>
        <w:spacing w:line="560" w:lineRule="exact"/>
        <w:rPr>
          <w:rFonts w:eastAsia="黑体"/>
          <w:color w:val="auto"/>
          <w:sz w:val="32"/>
          <w:szCs w:val="32"/>
        </w:rPr>
      </w:pPr>
    </w:p>
    <w:p>
      <w:pPr>
        <w:numPr>
          <w:ilvl w:val="0"/>
          <w:numId w:val="1"/>
        </w:numPr>
        <w:spacing w:line="500" w:lineRule="exact"/>
        <w:ind w:firstLine="640" w:firstLineChars="200"/>
        <w:rPr>
          <w:rFonts w:eastAsia="黑体"/>
          <w:color w:val="auto"/>
          <w:sz w:val="32"/>
          <w:szCs w:val="32"/>
        </w:rPr>
      </w:pPr>
      <w:r>
        <w:rPr>
          <w:rFonts w:eastAsia="黑体"/>
          <w:color w:val="auto"/>
          <w:sz w:val="32"/>
          <w:szCs w:val="32"/>
        </w:rPr>
        <w:t>部门（单位）基本情况</w:t>
      </w:r>
    </w:p>
    <w:p>
      <w:pPr>
        <w:numPr>
          <w:numId w:val="0"/>
        </w:numPr>
        <w:spacing w:line="500" w:lineRule="exact"/>
        <w:ind w:firstLine="640" w:firstLineChars="200"/>
        <w:rPr>
          <w:rFonts w:eastAsia="楷体_GB2312"/>
          <w:bCs/>
          <w:color w:val="auto"/>
          <w:sz w:val="32"/>
          <w:szCs w:val="32"/>
        </w:rPr>
      </w:pPr>
      <w:r>
        <w:rPr>
          <w:rFonts w:eastAsia="楷体_GB2312"/>
          <w:bCs/>
          <w:color w:val="auto"/>
          <w:sz w:val="32"/>
          <w:szCs w:val="32"/>
        </w:rPr>
        <w:t>（一）机构、人员构成</w:t>
      </w:r>
    </w:p>
    <w:p>
      <w:pPr>
        <w:pStyle w:val="2"/>
        <w:spacing w:line="500" w:lineRule="exact"/>
        <w:ind w:firstLine="560" w:firstLineChars="20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桃花源城管分局为区管委下属的一级预算单位，下设有办公室、业务科、执法监督科、桃花源镇中队等科室中队7个，单位人员编制48人，截止2021年12月份在编在职人员17人，临聘人员31人。</w:t>
      </w:r>
    </w:p>
    <w:p>
      <w:pPr>
        <w:widowControl/>
        <w:spacing w:line="500" w:lineRule="exact"/>
        <w:ind w:firstLine="640" w:firstLineChars="200"/>
        <w:rPr>
          <w:rFonts w:eastAsia="楷体_GB2312"/>
          <w:bCs/>
          <w:color w:val="auto"/>
          <w:sz w:val="32"/>
          <w:szCs w:val="32"/>
        </w:rPr>
      </w:pPr>
      <w:r>
        <w:rPr>
          <w:rFonts w:eastAsia="楷体_GB2312"/>
          <w:bCs/>
          <w:color w:val="auto"/>
          <w:sz w:val="32"/>
          <w:szCs w:val="32"/>
        </w:rPr>
        <w:t>（二）单位主要职责</w:t>
      </w:r>
    </w:p>
    <w:p>
      <w:pPr>
        <w:pStyle w:val="2"/>
        <w:spacing w:line="500" w:lineRule="exact"/>
        <w:ind w:firstLine="560" w:firstLineChars="20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主要职责：一是指导、协调、监督全区城市综合管理工作，承担区城市管理委员会办公室日常工作。二是负责贯彻执行有关市容环境卫生方面的法律、法规和政策。三是承担城市市容环境卫生监管责任，负责城市市政设施运行和监管。四是负责行使城市规划、城市绿化、市政和环境保护中的噪音、餐饮油烟等方面法律、法规、规章规定的行政处罚权。五是负责行使工商行政管理方面对无照商贩的行政处罚权。六是承办区委、区管委交办的其他事项。</w:t>
      </w:r>
    </w:p>
    <w:p>
      <w:pPr>
        <w:widowControl/>
        <w:spacing w:line="500" w:lineRule="exact"/>
        <w:ind w:firstLine="640" w:firstLineChars="200"/>
        <w:rPr>
          <w:rFonts w:eastAsia="楷体_GB2312"/>
          <w:bCs/>
          <w:color w:val="auto"/>
          <w:sz w:val="32"/>
          <w:szCs w:val="32"/>
        </w:rPr>
      </w:pPr>
      <w:r>
        <w:rPr>
          <w:rFonts w:eastAsia="楷体_GB2312"/>
          <w:bCs/>
          <w:color w:val="auto"/>
          <w:sz w:val="32"/>
          <w:szCs w:val="32"/>
        </w:rPr>
        <w:t>（三）部门</w:t>
      </w:r>
      <w:r>
        <w:rPr>
          <w:rFonts w:hint="eastAsia" w:eastAsia="楷体_GB2312"/>
          <w:bCs/>
          <w:color w:val="auto"/>
          <w:sz w:val="32"/>
          <w:szCs w:val="32"/>
          <w:lang w:eastAsia="zh-CN"/>
        </w:rPr>
        <w:t>整体收支</w:t>
      </w:r>
      <w:r>
        <w:rPr>
          <w:rFonts w:eastAsia="楷体_GB2312"/>
          <w:bCs/>
          <w:color w:val="auto"/>
          <w:sz w:val="32"/>
          <w:szCs w:val="32"/>
        </w:rPr>
        <w:t>情况</w:t>
      </w:r>
    </w:p>
    <w:p>
      <w:pPr>
        <w:pStyle w:val="2"/>
        <w:spacing w:line="500" w:lineRule="exact"/>
        <w:ind w:firstLine="560" w:firstLineChars="20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1. 资产负债及净资产情况</w:t>
      </w:r>
      <w:bookmarkStart w:id="0" w:name="_GoBack"/>
      <w:bookmarkEnd w:id="0"/>
    </w:p>
    <w:p>
      <w:pPr>
        <w:pStyle w:val="2"/>
        <w:spacing w:line="500" w:lineRule="exact"/>
        <w:ind w:firstLine="560" w:firstLineChars="20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2021年12月31日单位资产总额   万元，其中：流动资产 万元、非流动资产  万元，负债总额  万元，净资产总额  万元。</w:t>
      </w:r>
    </w:p>
    <w:p>
      <w:pPr>
        <w:pStyle w:val="2"/>
        <w:spacing w:line="500" w:lineRule="exact"/>
        <w:ind w:firstLine="560" w:firstLineChars="20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2. 部门整体收支情况</w:t>
      </w:r>
    </w:p>
    <w:p>
      <w:pPr>
        <w:pStyle w:val="2"/>
        <w:spacing w:line="500" w:lineRule="exact"/>
        <w:ind w:firstLine="560" w:firstLineChars="20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2021年部门年初预算收入180.44万元，年内调整预算201.42万元，决算收入381.86万元，其中：一般公共预算拨款381.86万元。全年可执行预算合计381.86万元，其中：一般公共预算拨款381.86万元。</w:t>
      </w:r>
    </w:p>
    <w:p>
      <w:pPr>
        <w:pStyle w:val="2"/>
        <w:spacing w:line="500" w:lineRule="exact"/>
        <w:ind w:firstLine="560" w:firstLineChars="20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2021年部门年初预算支出180.44万元，其中：基本支出140万元，项目支出40.44万元。部门决算支出381.86万元，其中：基本支出241.42万元，项目支出140.44万元。</w:t>
      </w:r>
    </w:p>
    <w:p>
      <w:pPr>
        <w:widowControl/>
        <w:spacing w:line="500" w:lineRule="exact"/>
        <w:ind w:firstLine="640" w:firstLineChars="200"/>
        <w:rPr>
          <w:rFonts w:eastAsia="楷体_GB2312"/>
          <w:bCs/>
          <w:color w:val="auto"/>
          <w:sz w:val="32"/>
          <w:szCs w:val="32"/>
        </w:rPr>
      </w:pPr>
      <w:r>
        <w:rPr>
          <w:rFonts w:eastAsia="楷体_GB2312"/>
          <w:bCs/>
          <w:color w:val="auto"/>
          <w:sz w:val="32"/>
          <w:szCs w:val="32"/>
        </w:rPr>
        <w:t>（四）部门绩效目标</w:t>
      </w:r>
    </w:p>
    <w:p>
      <w:pPr>
        <w:pStyle w:val="2"/>
        <w:spacing w:line="500" w:lineRule="exact"/>
        <w:ind w:firstLine="560" w:firstLineChars="20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1. 部门绩效总目标</w:t>
      </w:r>
    </w:p>
    <w:p>
      <w:pPr>
        <w:pStyle w:val="2"/>
        <w:spacing w:line="500" w:lineRule="exact"/>
        <w:ind w:firstLine="560" w:firstLineChars="20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（1）通过对加强城市管理监督、考核，营造良好经营秩序、卫生环境，打造满意城管。</w:t>
      </w:r>
    </w:p>
    <w:p>
      <w:pPr>
        <w:pStyle w:val="2"/>
        <w:spacing w:line="500" w:lineRule="exact"/>
        <w:ind w:firstLine="560" w:firstLineChars="20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（2）对城市家具、公厕等设施进行维护，保障其正常使用功能。</w:t>
      </w:r>
    </w:p>
    <w:p>
      <w:pPr>
        <w:pStyle w:val="2"/>
        <w:spacing w:line="500" w:lineRule="exact"/>
        <w:ind w:firstLine="560" w:firstLineChars="20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（3）督导规范共享单车、电动车和人行道汽车停放管理。</w:t>
      </w:r>
    </w:p>
    <w:p>
      <w:pPr>
        <w:pStyle w:val="2"/>
        <w:spacing w:line="500" w:lineRule="exact"/>
        <w:ind w:firstLine="560" w:firstLineChars="20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（4）加强监控手段，受理城市管理投诉举报，控制渣土车辆密闭覆盖行驶，防止扬尘污染。</w:t>
      </w:r>
    </w:p>
    <w:p>
      <w:pPr>
        <w:pStyle w:val="2"/>
        <w:spacing w:line="500" w:lineRule="exact"/>
        <w:ind w:firstLine="560" w:firstLineChars="20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2. 部门2021年度绩效目标</w:t>
      </w:r>
    </w:p>
    <w:p>
      <w:pPr>
        <w:pStyle w:val="2"/>
        <w:spacing w:line="500" w:lineRule="exact"/>
        <w:ind w:firstLine="560" w:firstLineChars="20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（1）产出指标</w:t>
      </w:r>
    </w:p>
    <w:p>
      <w:pPr>
        <w:pStyle w:val="2"/>
        <w:spacing w:line="500" w:lineRule="exact"/>
        <w:ind w:firstLine="560" w:firstLineChars="20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①数量指标。督导管理公共自行车运行站点数量170个、公共自行车600辆。确保3座公益广告立柱使用安全。建筑垃圾管理监控渣土车200台。城管系统全年预计巡查案件受理数量超过20件。通过热线、短信等接收群众举办案件大于20件。全年对城镇区社区进行“十佳十差”评选4次。</w:t>
      </w:r>
    </w:p>
    <w:p>
      <w:pPr>
        <w:pStyle w:val="2"/>
        <w:spacing w:line="500" w:lineRule="exact"/>
        <w:ind w:firstLine="560" w:firstLineChars="200"/>
        <w:rPr>
          <w:rFonts w:hint="default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②质量指标。公共自行车设施设备完好率≥90%。督导规范共享单车、电动车和人行道汽车停放管理合格达标。</w:t>
      </w:r>
    </w:p>
    <w:p>
      <w:pPr>
        <w:pStyle w:val="2"/>
        <w:spacing w:line="500" w:lineRule="exact"/>
        <w:ind w:firstLine="560" w:firstLineChars="20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③时效指标。任务完成及时率100%。</w:t>
      </w:r>
    </w:p>
    <w:p>
      <w:pPr>
        <w:pStyle w:val="2"/>
        <w:spacing w:line="500" w:lineRule="exact"/>
        <w:ind w:firstLine="560" w:firstLineChars="20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④成本指标。成本发生规范合理率100%。</w:t>
      </w:r>
    </w:p>
    <w:p>
      <w:pPr>
        <w:pStyle w:val="2"/>
        <w:spacing w:line="500" w:lineRule="exact"/>
        <w:ind w:firstLine="560" w:firstLineChars="20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（2）效益指标</w:t>
      </w:r>
    </w:p>
    <w:p>
      <w:pPr>
        <w:pStyle w:val="2"/>
        <w:spacing w:line="500" w:lineRule="exact"/>
        <w:ind w:firstLine="560" w:firstLineChars="20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①加强城市管理监督、考核，营造美好环境，吸引更多的投资者、旅游者，提高间接经济效益</w:t>
      </w:r>
    </w:p>
    <w:p>
      <w:pPr>
        <w:pStyle w:val="2"/>
        <w:spacing w:line="500" w:lineRule="exact"/>
        <w:ind w:firstLine="560" w:firstLineChars="20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②通过加强城市管理工作，营造良好经营秩序、卫生环境，打造满意城管，维持城市荣誉，提升城市管理能力。</w:t>
      </w:r>
    </w:p>
    <w:p>
      <w:pPr>
        <w:pStyle w:val="2"/>
        <w:spacing w:line="500" w:lineRule="exact"/>
        <w:ind w:firstLine="560" w:firstLineChars="20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③控制车辆行驶途中抛撒，防止扬尘污染，减少对城市垃圾污染产生的影响。</w:t>
      </w:r>
    </w:p>
    <w:p>
      <w:pPr>
        <w:pStyle w:val="2"/>
        <w:spacing w:line="500" w:lineRule="exact"/>
        <w:ind w:firstLine="560" w:firstLineChars="20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④推广绿色出行理念，规范共享单车管理，城市管理机制长效化。</w:t>
      </w:r>
    </w:p>
    <w:p>
      <w:pPr>
        <w:pStyle w:val="2"/>
        <w:spacing w:line="500" w:lineRule="exact"/>
        <w:ind w:firstLine="560" w:firstLineChars="20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fldChar w:fldCharType="begin"/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instrText xml:space="preserve"> = 5 \* GB3 \* MERGEFORMAT </w:instrTex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fldChar w:fldCharType="separate"/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⑤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fldChar w:fldCharType="end"/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满意度。社会公众或服务对象满意度90%以上。</w:t>
      </w:r>
    </w:p>
    <w:p>
      <w:pPr>
        <w:pStyle w:val="7"/>
        <w:widowControl/>
        <w:spacing w:line="500" w:lineRule="exact"/>
        <w:ind w:firstLine="640"/>
        <w:rPr>
          <w:rFonts w:ascii="Times New Roman" w:hAnsi="Times New Roman" w:eastAsia="黑体"/>
          <w:color w:val="auto"/>
          <w:sz w:val="32"/>
          <w:szCs w:val="32"/>
        </w:rPr>
      </w:pPr>
      <w:r>
        <w:rPr>
          <w:rFonts w:ascii="Times New Roman" w:hAnsi="Times New Roman" w:eastAsia="黑体"/>
          <w:color w:val="auto"/>
          <w:sz w:val="32"/>
          <w:szCs w:val="32"/>
        </w:rPr>
        <w:t>二、一般公共预算支出情况</w:t>
      </w:r>
    </w:p>
    <w:p>
      <w:pPr>
        <w:pStyle w:val="2"/>
        <w:spacing w:line="500" w:lineRule="exact"/>
        <w:ind w:firstLine="560" w:firstLineChars="20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桃花源城管分局2021年度一般公共预算财政拨款年初结转和结余37.4万元，本年收入381.86万元，本年支出354.84万元，年末结转和结余64.44万元。</w:t>
      </w:r>
    </w:p>
    <w:p>
      <w:pPr>
        <w:pStyle w:val="2"/>
        <w:spacing w:line="500" w:lineRule="exact"/>
        <w:ind w:firstLine="640" w:firstLineChars="200"/>
        <w:rPr>
          <w:rFonts w:hint="eastAsia" w:ascii="Times New Roman" w:hAnsi="Times New Roman" w:eastAsia="楷体_GB2312" w:cs="Times New Roman"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楷体_GB2312" w:cs="Times New Roman"/>
          <w:bCs/>
          <w:color w:val="auto"/>
          <w:kern w:val="2"/>
          <w:sz w:val="32"/>
          <w:szCs w:val="32"/>
          <w:lang w:val="en-US" w:eastAsia="zh-CN" w:bidi="ar-SA"/>
        </w:rPr>
        <w:t>（一）基本支出情况</w:t>
      </w:r>
    </w:p>
    <w:p>
      <w:pPr>
        <w:pStyle w:val="2"/>
        <w:spacing w:line="500" w:lineRule="exact"/>
        <w:ind w:firstLine="560" w:firstLineChars="20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桃花源城管分局2021年度一般公共预算财政拨款年初结转和结余37.4万元，本年收入381.86万元，本年支出354.84万元，年末结转和结余64.44万元。</w:t>
      </w:r>
    </w:p>
    <w:p>
      <w:pPr>
        <w:pStyle w:val="2"/>
        <w:spacing w:line="500" w:lineRule="exact"/>
        <w:ind w:firstLine="640" w:firstLineChars="200"/>
        <w:rPr>
          <w:rFonts w:hint="eastAsia" w:ascii="Times New Roman" w:hAnsi="Times New Roman" w:eastAsia="楷体_GB2312" w:cs="Times New Roman"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楷体_GB2312" w:cs="Times New Roman"/>
          <w:bCs/>
          <w:color w:val="auto"/>
          <w:kern w:val="2"/>
          <w:sz w:val="32"/>
          <w:szCs w:val="32"/>
          <w:lang w:val="en-US" w:eastAsia="zh-CN" w:bidi="ar-SA"/>
        </w:rPr>
        <w:t>（二）项目支出情况</w:t>
      </w:r>
    </w:p>
    <w:p>
      <w:pPr>
        <w:pStyle w:val="2"/>
        <w:spacing w:line="500" w:lineRule="exact"/>
        <w:ind w:firstLine="560" w:firstLineChars="20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2021年度一般公共预算财政拨款项目支出年初结转和结余22.4万元，本年收入123.04万元，本年支出140.44万元，年末结转和结余5万元。</w:t>
      </w:r>
    </w:p>
    <w:p>
      <w:pPr>
        <w:pStyle w:val="7"/>
        <w:widowControl/>
        <w:spacing w:line="500" w:lineRule="exact"/>
        <w:ind w:firstLine="640"/>
        <w:jc w:val="left"/>
        <w:rPr>
          <w:rFonts w:ascii="Times New Roman" w:hAnsi="Times New Roman" w:eastAsia="黑体"/>
          <w:color w:val="auto"/>
          <w:sz w:val="32"/>
          <w:szCs w:val="32"/>
        </w:rPr>
      </w:pPr>
      <w:r>
        <w:rPr>
          <w:rFonts w:ascii="Times New Roman" w:hAnsi="Times New Roman" w:eastAsia="黑体"/>
          <w:color w:val="auto"/>
          <w:sz w:val="32"/>
          <w:szCs w:val="32"/>
        </w:rPr>
        <w:t>三、政府性基金预算支出情况</w:t>
      </w:r>
    </w:p>
    <w:p>
      <w:pPr>
        <w:pStyle w:val="7"/>
        <w:widowControl/>
        <w:spacing w:line="500" w:lineRule="exact"/>
        <w:ind w:firstLine="640"/>
        <w:jc w:val="left"/>
        <w:rPr>
          <w:rFonts w:ascii="Times New Roman" w:hAnsi="Times New Roman"/>
          <w:color w:val="auto"/>
          <w:sz w:val="30"/>
          <w:szCs w:val="30"/>
        </w:rPr>
      </w:pPr>
      <w:r>
        <w:rPr>
          <w:rFonts w:ascii="Times New Roman" w:hAnsi="Times New Roman" w:eastAsia="黑体"/>
          <w:color w:val="auto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 xml:space="preserve"> 无</w:t>
      </w:r>
    </w:p>
    <w:p>
      <w:pPr>
        <w:pStyle w:val="7"/>
        <w:widowControl/>
        <w:numPr>
          <w:ilvl w:val="0"/>
          <w:numId w:val="2"/>
        </w:numPr>
        <w:spacing w:line="500" w:lineRule="exact"/>
        <w:ind w:firstLine="640"/>
        <w:jc w:val="left"/>
        <w:rPr>
          <w:rFonts w:ascii="Times New Roman" w:hAnsi="Times New Roman" w:eastAsia="黑体"/>
          <w:color w:val="auto"/>
          <w:sz w:val="32"/>
          <w:szCs w:val="32"/>
        </w:rPr>
      </w:pPr>
      <w:r>
        <w:rPr>
          <w:rFonts w:ascii="Times New Roman" w:hAnsi="Times New Roman" w:eastAsia="黑体"/>
          <w:color w:val="auto"/>
          <w:sz w:val="32"/>
          <w:szCs w:val="32"/>
        </w:rPr>
        <w:t>国有资本经营预算支出情况</w:t>
      </w:r>
    </w:p>
    <w:p>
      <w:pPr>
        <w:pStyle w:val="7"/>
        <w:widowControl/>
        <w:spacing w:line="500" w:lineRule="exact"/>
        <w:ind w:firstLine="0" w:firstLineChars="0"/>
        <w:jc w:val="left"/>
        <w:rPr>
          <w:rFonts w:ascii="Times New Roman" w:hAnsi="Times New Roman"/>
          <w:color w:val="auto"/>
          <w:sz w:val="30"/>
          <w:szCs w:val="30"/>
        </w:rPr>
      </w:pPr>
      <w:r>
        <w:rPr>
          <w:rFonts w:ascii="Times New Roman" w:hAnsi="Times New Roman" w:eastAsia="黑体"/>
          <w:color w:val="auto"/>
          <w:sz w:val="32"/>
          <w:szCs w:val="32"/>
        </w:rPr>
        <w:t xml:space="preserve">        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无</w:t>
      </w:r>
    </w:p>
    <w:p>
      <w:pPr>
        <w:pStyle w:val="7"/>
        <w:widowControl/>
        <w:numPr>
          <w:ilvl w:val="0"/>
          <w:numId w:val="2"/>
        </w:numPr>
        <w:spacing w:line="500" w:lineRule="exact"/>
        <w:ind w:firstLine="640"/>
        <w:jc w:val="left"/>
        <w:rPr>
          <w:rFonts w:ascii="Times New Roman" w:hAnsi="Times New Roman" w:eastAsia="黑体"/>
          <w:color w:val="auto"/>
          <w:sz w:val="32"/>
          <w:szCs w:val="32"/>
        </w:rPr>
      </w:pPr>
      <w:r>
        <w:rPr>
          <w:rFonts w:ascii="Times New Roman" w:hAnsi="Times New Roman" w:eastAsia="黑体"/>
          <w:color w:val="auto"/>
          <w:sz w:val="32"/>
          <w:szCs w:val="32"/>
        </w:rPr>
        <w:t>社会保险基金预算支出情况</w:t>
      </w:r>
    </w:p>
    <w:p>
      <w:pPr>
        <w:pStyle w:val="7"/>
        <w:widowControl/>
        <w:spacing w:line="500" w:lineRule="exact"/>
        <w:ind w:left="560" w:leftChars="200" w:firstLine="0" w:firstLineChars="0"/>
        <w:jc w:val="left"/>
        <w:rPr>
          <w:rFonts w:ascii="Times New Roman" w:hAnsi="Times New Roman"/>
          <w:color w:val="auto"/>
          <w:sz w:val="30"/>
          <w:szCs w:val="30"/>
        </w:rPr>
      </w:pPr>
      <w:r>
        <w:rPr>
          <w:rFonts w:ascii="Times New Roman" w:hAnsi="Times New Roman" w:eastAsia="黑体"/>
          <w:color w:val="auto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 xml:space="preserve"> 无</w:t>
      </w:r>
    </w:p>
    <w:p>
      <w:pPr>
        <w:widowControl/>
        <w:numPr>
          <w:ilvl w:val="0"/>
          <w:numId w:val="2"/>
        </w:numPr>
        <w:spacing w:line="500" w:lineRule="exact"/>
        <w:ind w:left="0" w:leftChars="0" w:firstLine="640" w:firstLineChars="200"/>
        <w:jc w:val="left"/>
        <w:rPr>
          <w:rFonts w:eastAsia="黑体"/>
          <w:color w:val="auto"/>
          <w:sz w:val="32"/>
          <w:szCs w:val="32"/>
        </w:rPr>
      </w:pPr>
      <w:r>
        <w:rPr>
          <w:rFonts w:eastAsia="黑体"/>
          <w:color w:val="auto"/>
          <w:sz w:val="32"/>
          <w:szCs w:val="32"/>
        </w:rPr>
        <w:t>部门整体支出绩效情况</w:t>
      </w:r>
    </w:p>
    <w:p>
      <w:pPr>
        <w:pStyle w:val="2"/>
        <w:spacing w:line="500" w:lineRule="exact"/>
        <w:ind w:firstLine="560" w:firstLineChars="200"/>
        <w:rPr>
          <w:rFonts w:hint="default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2021年，根据单位年初工作计划和区委区管委、市局交办的重要任务，积极履职，强化管理，较好地完成了年度工作目标支出情况，部门整体支出绩效情况如下：</w:t>
      </w:r>
    </w:p>
    <w:p>
      <w:pPr>
        <w:pStyle w:val="2"/>
        <w:spacing w:line="500" w:lineRule="exact"/>
        <w:ind w:firstLine="560" w:firstLineChars="200"/>
        <w:rPr>
          <w:rFonts w:hint="default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（一）整体支出经济性分析：2021年，我单位严格按照中央八项规定及省、市有关要求，加强资金管理。一是进一步加强公务接待管理，按公务接待规格和标准报销公务接待费；二是规范公务用车出行，切实降低公务用车运行费用；三是加强内部控制，优化资金使用。2021年三公经费及项目经费支出同比减少，全年部门整体支出预算完成率93.86%，保障了单位日常工作的正常运转和业务工作的开展和推进，预算执行比较到位。</w:t>
      </w:r>
    </w:p>
    <w:p>
      <w:pPr>
        <w:pStyle w:val="2"/>
        <w:spacing w:line="500" w:lineRule="exact"/>
        <w:ind w:firstLine="560" w:firstLineChars="200"/>
        <w:rPr>
          <w:rFonts w:hint="default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（二）整体支出有效性分析：预算安排的基本支出保障了单位正常的工作运转，预算安排的项目支出保障了单位各项业务工作的顺利开展。2021年度主要工作：一是队伍规范化建设持续巩固深化；二是蓝天保卫战面源污染整治持续发力；三是市容及专业执法督查工作全面深入开展；四是重大活动保障任务圆满完成；五是队伍综合管理保持常态长效；六是执法创新工作成效显著。</w:t>
      </w:r>
    </w:p>
    <w:p>
      <w:pPr>
        <w:pStyle w:val="2"/>
        <w:spacing w:line="500" w:lineRule="exact"/>
        <w:ind w:firstLine="560" w:firstLineChars="20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（三）整体支出持续性分析：抓好队伍管理，保持队伍安全稳定。一是全力以赴抓好疫情防控。迅速启动疫情防控应急响应，研究制定分局疫情防控措施并狠抓落实，科学调整疫情防控期间执法督查方式，严格执行人员管控措施并及时上报队员及家属的健康和外出情况，扎实做好防疫工作，完善后勤保障机制，保持疫情防控常态化，确保分局全体干部职工及家属零感染，并积极协助社区开展疫情防控工作。二是深入推进垃圾分类工作。加大垃圾分类工作投入和保障，建设完善垃圾分类屋等配套设施，扎实做好垃圾分类教育培训、志愿者督导服务等工作，积极开展垃圾分类主题党日活动，成功创建市级文明单位。三是强化安全管理和综治维稳。定期开展形势分析，积极排查整改安全隐患、化解矛盾纠纷和不稳定因素，开展禁毒、扫黑除恶行动，全面加强应急防汛后勤保障和物资采购管理，充分做好防汛应急准备和应急演练，不断提升应急保障能力水平。</w:t>
      </w:r>
    </w:p>
    <w:p>
      <w:pPr>
        <w:widowControl/>
        <w:spacing w:line="500" w:lineRule="exact"/>
        <w:ind w:firstLine="640" w:firstLineChars="200"/>
        <w:jc w:val="left"/>
        <w:rPr>
          <w:rFonts w:eastAsia="黑体"/>
          <w:color w:val="auto"/>
          <w:sz w:val="32"/>
          <w:szCs w:val="32"/>
        </w:rPr>
      </w:pPr>
      <w:r>
        <w:rPr>
          <w:rFonts w:eastAsia="黑体"/>
          <w:color w:val="auto"/>
          <w:sz w:val="32"/>
          <w:szCs w:val="32"/>
        </w:rPr>
        <w:t>七、存在的问题及原因分析</w:t>
      </w:r>
    </w:p>
    <w:p>
      <w:pPr>
        <w:pStyle w:val="2"/>
        <w:spacing w:line="500" w:lineRule="exact"/>
        <w:ind w:firstLine="560" w:firstLineChars="200"/>
        <w:rPr>
          <w:rFonts w:hint="default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（一）持续抓好经费控制管理，尤其是进一步细化“三公”经费管理，加强对项目支出的管理。</w:t>
      </w:r>
    </w:p>
    <w:p>
      <w:pPr>
        <w:pStyle w:val="2"/>
        <w:spacing w:line="500" w:lineRule="exact"/>
        <w:ind w:firstLine="560" w:firstLineChars="200"/>
        <w:rPr>
          <w:rFonts w:hint="default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（二）预算编制工作有待细化。预算编制不够明确和细致，政府采购预算编报不完整，没有充分起到预算控制的作用。预算执行力度要进一步加强。</w:t>
      </w:r>
    </w:p>
    <w:p>
      <w:pPr>
        <w:pStyle w:val="2"/>
        <w:spacing w:line="500" w:lineRule="exact"/>
        <w:ind w:firstLine="560" w:firstLineChars="200"/>
        <w:rPr>
          <w:rFonts w:hint="default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（三）工作水平有待提高。财政安排的工作在难度、深度和精度上的要求越来越高，一般时间紧、任务重，仅能刚好完成。</w:t>
      </w:r>
    </w:p>
    <w:p>
      <w:pPr>
        <w:pStyle w:val="2"/>
        <w:spacing w:line="500" w:lineRule="exact"/>
        <w:ind w:firstLine="560" w:firstLineChars="20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（四）资产管理工作有待加强。建立健全本单位资产管理制度，明确岗位职责，落实资产管理责任，对实物资产定期进行清查盘点，做到账账、账卡、账实相符。</w:t>
      </w:r>
    </w:p>
    <w:p>
      <w:pPr>
        <w:pStyle w:val="2"/>
        <w:spacing w:line="500" w:lineRule="exact"/>
        <w:ind w:firstLine="560" w:firstLineChars="20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（五）内控建设有待提高。内部控制建设处于建立阶段，制度建设不够完备，执行操作经验不足。</w:t>
      </w:r>
    </w:p>
    <w:p>
      <w:pPr>
        <w:widowControl/>
        <w:spacing w:line="500" w:lineRule="exact"/>
        <w:ind w:firstLine="640" w:firstLineChars="200"/>
        <w:jc w:val="left"/>
        <w:rPr>
          <w:rFonts w:eastAsia="黑体"/>
          <w:color w:val="auto"/>
          <w:sz w:val="32"/>
          <w:szCs w:val="32"/>
        </w:rPr>
      </w:pPr>
      <w:r>
        <w:rPr>
          <w:rFonts w:eastAsia="黑体"/>
          <w:color w:val="auto"/>
          <w:sz w:val="32"/>
          <w:szCs w:val="32"/>
        </w:rPr>
        <w:t>八、下一步改进措施</w:t>
      </w:r>
    </w:p>
    <w:p>
      <w:pPr>
        <w:pStyle w:val="2"/>
        <w:spacing w:line="500" w:lineRule="exact"/>
        <w:ind w:firstLine="560" w:firstLineChars="20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（一）细化预算编制工作，加强预算执行管理。加强各科室中队的预算管理意识，严格预算编制，全面编制政府采购预算，进一步促进预算编制的合理和精细，增强预算的约束力和严肃性。落实预算执行分析，及时了解预算执行进度及差异，合理调整，提高部门预算执行力度和精度。</w:t>
      </w:r>
    </w:p>
    <w:p>
      <w:pPr>
        <w:pStyle w:val="2"/>
        <w:spacing w:line="500" w:lineRule="exact"/>
        <w:ind w:firstLine="560" w:firstLineChars="20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（二）抓好“三公”经费控制，完善资产管理。严格控制“三公”经费的规模和比例，细化“三公”经费的管理，合理压缩“三公”经费支出。</w:t>
      </w:r>
    </w:p>
    <w:p>
      <w:pPr>
        <w:pStyle w:val="2"/>
        <w:spacing w:line="500" w:lineRule="exact"/>
        <w:ind w:firstLine="560" w:firstLineChars="20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（三）规范各类资产的购置审批制度、采购制度、使用管理制度，增加资产管理人员，加强单位内部的资产管理工作。</w:t>
      </w:r>
    </w:p>
    <w:p>
      <w:pPr>
        <w:pStyle w:val="2"/>
        <w:spacing w:line="500" w:lineRule="exact"/>
        <w:ind w:firstLine="560" w:firstLineChars="20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（四）加强新会计制度、新预算法、新财政政策和内控制度的学习，传达到位，提高工作水平。部门绩效评价专业性强、工作量大，建议财政部门加强业务培训。</w:t>
      </w:r>
    </w:p>
    <w:p>
      <w:pPr>
        <w:widowControl/>
        <w:spacing w:line="500" w:lineRule="exact"/>
        <w:ind w:firstLine="645"/>
        <w:jc w:val="left"/>
        <w:rPr>
          <w:rFonts w:eastAsia="黑体"/>
          <w:color w:val="auto"/>
          <w:sz w:val="32"/>
          <w:szCs w:val="32"/>
        </w:rPr>
      </w:pPr>
      <w:r>
        <w:rPr>
          <w:rFonts w:eastAsia="黑体"/>
          <w:color w:val="auto"/>
          <w:sz w:val="32"/>
          <w:szCs w:val="32"/>
        </w:rPr>
        <w:t>九、部门整体支出绩效自评结果拟应用和公开情况</w:t>
      </w:r>
    </w:p>
    <w:p>
      <w:pPr>
        <w:pStyle w:val="2"/>
        <w:spacing w:line="500" w:lineRule="exact"/>
        <w:ind w:firstLine="560" w:firstLineChars="20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根据区财政相关部门统一部署，我单位2021年部门整体支出绩效自评情况将在单位门户网站公开，接受社会监督。对绩效自评工作中发现的问题及时整改，解决好绩效评价管理中存在的问题，提高工作效能。根据部门整体支出绩效评价指标评分标准，2021年我单位部门整体绩效评价自评分为90分。</w:t>
      </w:r>
    </w:p>
    <w:p>
      <w:pPr>
        <w:widowControl/>
        <w:spacing w:line="500" w:lineRule="exact"/>
        <w:ind w:firstLine="645"/>
        <w:jc w:val="left"/>
        <w:rPr>
          <w:rFonts w:eastAsia="黑体"/>
          <w:color w:val="auto"/>
          <w:sz w:val="32"/>
          <w:szCs w:val="32"/>
        </w:rPr>
      </w:pPr>
      <w:r>
        <w:rPr>
          <w:rFonts w:eastAsia="黑体"/>
          <w:color w:val="auto"/>
          <w:sz w:val="32"/>
          <w:szCs w:val="32"/>
        </w:rPr>
        <w:t>十、其他需要说明的情况</w:t>
      </w:r>
    </w:p>
    <w:p>
      <w:pPr>
        <w:pStyle w:val="2"/>
        <w:spacing w:line="500" w:lineRule="exact"/>
        <w:ind w:firstLine="560" w:firstLineChars="20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无</w:t>
      </w:r>
    </w:p>
    <w:p>
      <w:pPr>
        <w:pStyle w:val="2"/>
        <w:spacing w:line="500" w:lineRule="exact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0"/>
          <w:szCs w:val="30"/>
          <w:shd w:val="clear" w:fill="FFFFFF"/>
          <w:lang w:val="en-US" w:eastAsia="zh-CN" w:bidi="ar"/>
        </w:rPr>
      </w:pPr>
    </w:p>
    <w:p>
      <w:pPr>
        <w:pStyle w:val="2"/>
        <w:spacing w:line="500" w:lineRule="exact"/>
        <w:ind w:firstLine="560" w:firstLineChars="20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附件：</w:t>
      </w:r>
    </w:p>
    <w:p>
      <w:pPr>
        <w:pStyle w:val="2"/>
        <w:spacing w:line="500" w:lineRule="exact"/>
        <w:ind w:firstLine="560" w:firstLineChars="20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1.部门整体支出绩效评价基础数据表</w:t>
      </w:r>
    </w:p>
    <w:p>
      <w:pPr>
        <w:pStyle w:val="2"/>
        <w:spacing w:line="500" w:lineRule="exact"/>
        <w:ind w:firstLine="560" w:firstLineChars="20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2.部门整体支出绩效自评表</w:t>
      </w:r>
    </w:p>
    <w:p>
      <w:pPr>
        <w:spacing w:line="500" w:lineRule="exact"/>
        <w:rPr>
          <w:color w:val="auto"/>
        </w:rPr>
      </w:pPr>
    </w:p>
    <w:p>
      <w:pPr>
        <w:spacing w:line="500" w:lineRule="exact"/>
        <w:rPr>
          <w:color w:val="auto"/>
        </w:rPr>
      </w:pPr>
      <w:r>
        <w:rPr>
          <w:rFonts w:hint="eastAsia"/>
          <w:color w:val="auto"/>
        </w:rPr>
        <w:t xml:space="preserve">    </w:t>
      </w:r>
    </w:p>
    <w:p>
      <w:pPr>
        <w:widowControl/>
        <w:spacing w:line="500" w:lineRule="exact"/>
        <w:ind w:firstLine="645"/>
        <w:jc w:val="left"/>
        <w:rPr>
          <w:color w:val="auto"/>
          <w:sz w:val="30"/>
          <w:szCs w:val="30"/>
        </w:rPr>
      </w:pPr>
    </w:p>
    <w:p>
      <w:pPr>
        <w:pStyle w:val="2"/>
        <w:spacing w:line="500" w:lineRule="exact"/>
        <w:rPr>
          <w:rFonts w:eastAsia="仿宋_GB2312"/>
          <w:color w:val="auto"/>
          <w:sz w:val="30"/>
          <w:szCs w:val="30"/>
        </w:rPr>
      </w:pPr>
    </w:p>
    <w:p>
      <w:pPr>
        <w:pStyle w:val="2"/>
        <w:spacing w:line="500" w:lineRule="exact"/>
        <w:rPr>
          <w:rFonts w:eastAsia="仿宋_GB2312"/>
          <w:color w:val="auto"/>
          <w:sz w:val="30"/>
          <w:szCs w:val="30"/>
        </w:rPr>
      </w:pPr>
    </w:p>
    <w:p>
      <w:pPr>
        <w:spacing w:line="600" w:lineRule="exact"/>
        <w:jc w:val="right"/>
        <w:rPr>
          <w:rFonts w:hint="eastAsia" w:ascii="仿宋" w:hAnsi="仿宋" w:eastAsia="仿宋" w:cs="仿宋"/>
          <w:color w:val="auto"/>
          <w:sz w:val="28"/>
          <w:szCs w:val="28"/>
          <w:u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eastAsia="zh-CN"/>
        </w:rPr>
        <w:t>常德市城市管理和综合执法局桃花源分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</w:rPr>
        <w:t>局</w:t>
      </w:r>
    </w:p>
    <w:p>
      <w:pPr>
        <w:widowControl/>
        <w:spacing w:line="500" w:lineRule="exact"/>
        <w:ind w:firstLine="645"/>
        <w:jc w:val="center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2022年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月2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</w:t>
      </w:r>
    </w:p>
    <w:p>
      <w:pPr>
        <w:rPr>
          <w:color w:val="auto"/>
        </w:rPr>
      </w:pPr>
    </w:p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DA19A7"/>
    <w:multiLevelType w:val="singleLevel"/>
    <w:tmpl w:val="B5DA19A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77E36D8"/>
    <w:multiLevelType w:val="singleLevel"/>
    <w:tmpl w:val="E77E36D8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M5MmIxYjdkMjliNTlkZWM0ODY2MjY2YmQ0YWYyOGEifQ=="/>
  </w:docVars>
  <w:rsids>
    <w:rsidRoot w:val="219B69DB"/>
    <w:rsid w:val="00011483"/>
    <w:rsid w:val="035016AA"/>
    <w:rsid w:val="069557B8"/>
    <w:rsid w:val="069A139F"/>
    <w:rsid w:val="13DE60F6"/>
    <w:rsid w:val="14432035"/>
    <w:rsid w:val="1804388A"/>
    <w:rsid w:val="18866995"/>
    <w:rsid w:val="18910E95"/>
    <w:rsid w:val="18E5190D"/>
    <w:rsid w:val="19563C04"/>
    <w:rsid w:val="1AE24232"/>
    <w:rsid w:val="1C021BEA"/>
    <w:rsid w:val="1C6230C8"/>
    <w:rsid w:val="1CE04199"/>
    <w:rsid w:val="1D10673D"/>
    <w:rsid w:val="1D6D2B3A"/>
    <w:rsid w:val="1D991930"/>
    <w:rsid w:val="205F6F32"/>
    <w:rsid w:val="213170F5"/>
    <w:rsid w:val="219B69DB"/>
    <w:rsid w:val="21EF15FF"/>
    <w:rsid w:val="29D86924"/>
    <w:rsid w:val="2A50113D"/>
    <w:rsid w:val="2C127831"/>
    <w:rsid w:val="2CDC03E7"/>
    <w:rsid w:val="2D1E536C"/>
    <w:rsid w:val="346527F3"/>
    <w:rsid w:val="35202FF8"/>
    <w:rsid w:val="35277612"/>
    <w:rsid w:val="3B8C756F"/>
    <w:rsid w:val="4136166A"/>
    <w:rsid w:val="47A1226A"/>
    <w:rsid w:val="47E863B1"/>
    <w:rsid w:val="48387F4F"/>
    <w:rsid w:val="4D735EAE"/>
    <w:rsid w:val="4FD8492E"/>
    <w:rsid w:val="542E520F"/>
    <w:rsid w:val="55AE4859"/>
    <w:rsid w:val="55F177F7"/>
    <w:rsid w:val="57803FD4"/>
    <w:rsid w:val="5C3B0D6A"/>
    <w:rsid w:val="5D134D3B"/>
    <w:rsid w:val="63DF02D4"/>
    <w:rsid w:val="640E2967"/>
    <w:rsid w:val="651D2E62"/>
    <w:rsid w:val="667C4F55"/>
    <w:rsid w:val="684E502F"/>
    <w:rsid w:val="698A3057"/>
    <w:rsid w:val="6C1A1DD3"/>
    <w:rsid w:val="6CC27998"/>
    <w:rsid w:val="6D4332A9"/>
    <w:rsid w:val="703569C6"/>
    <w:rsid w:val="710D46D2"/>
    <w:rsid w:val="74B44E65"/>
    <w:rsid w:val="74B647E4"/>
    <w:rsid w:val="76F7284D"/>
    <w:rsid w:val="787D213D"/>
    <w:rsid w:val="7AFF00F3"/>
    <w:rsid w:val="7FC44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8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qFormat/>
    <w:uiPriority w:val="0"/>
    <w:pPr>
      <w:spacing w:after="120"/>
      <w:textAlignment w:val="baseline"/>
    </w:pPr>
    <w:rPr>
      <w:rFonts w:eastAsia="宋体"/>
      <w:sz w:val="32"/>
      <w:szCs w:val="24"/>
    </w:r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paragraph" w:styleId="7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3028</Words>
  <Characters>3223</Characters>
  <Lines>0</Lines>
  <Paragraphs>0</Paragraphs>
  <TotalTime>5</TotalTime>
  <ScaleCrop>false</ScaleCrop>
  <LinksUpToDate>false</LinksUpToDate>
  <CharactersWithSpaces>3279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2022-11-14T02:54:00Z</dcterms:created>
  <dc:creator>瑶～不可及</dc:creator>
  <cp:lastModifiedBy>瑶～不可及</cp:lastModifiedBy>
  <cp:lastPrinted>2022-11-14T05:29:00Z</cp:lastPrinted>
  <dcterms:modified xsi:type="dcterms:W3CDTF">2022-11-15T02:09:09Z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FE92B71B07A748E9B858BCB8823EF138</vt:lpwstr>
  </property>
</Properties>
</file>